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oportunidades-soa-del-fna"/>
    <w:p>
      <w:pPr>
        <w:pStyle w:val="Ttulo2"/>
      </w:pPr>
      <w:r>
        <w:t xml:space="preserve">Oportunidades SOA del FNA</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20">
        <w:r>
          <w:rPr>
            <w:rStyle w:val="Hipervnculo"/>
          </w:rPr>
          <w:t xml:space="preserve">Resultado Diagnóstico Situación Actual-3</w:t>
        </w:r>
      </w:hyperlink>
      <w:r>
        <w:t xml:space="preserve">, la prevalencia del enfoque ascendente, esto es desde el provedor hacia el negocio</w:t>
      </w:r>
      <w:r>
        <w:t xml:space="preserve"> </w:t>
      </w:r>
      <w:hyperlink r:id="rId21">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22"/>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3">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Textoindependiente"/>
      </w:pPr>
    </w:p>
    <w:p>
      <w:pPr>
        <w:pStyle w:val="Textoindependiente"/>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25"/>
    <w:bookmarkStart w:id="26"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26"/>
    <w:bookmarkStart w:id="27" w:name="X8ec175ed324358e61f50ef0670674631022309c"/>
    <w:p>
      <w:pPr>
        <w:pStyle w:val="Ttulo2"/>
      </w:pPr>
      <w:r>
        <w:t xml:space="preserve">Oportunidad 3. Mayor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27"/>
    <w:bookmarkStart w:id="28" w:name="X93a9f1b805aef19b99ace141b87bddcc30650d4"/>
    <w:p>
      <w:pPr>
        <w:pStyle w:val="Ttulo2"/>
      </w:pPr>
      <w:r>
        <w:t xml:space="preserve">Oportunidad 4. Impulsar la figura de Gobierno SOA y de Arquitectura</w:t>
      </w:r>
    </w:p>
    <w:p>
      <w:pPr>
        <w:pStyle w:val="FirstParagraph"/>
      </w:pPr>
      <w:r>
        <w:t xml:space="preserve">Existe la oportunidad de impulsar la función de un gobierno SOA basado en el repositorio de arquitectura del FNA que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en este sentido hay que subsanar las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2023-02-20T13:57:58Z</dcterms:created>
  <dcterms:modified xsi:type="dcterms:W3CDTF">2023-02-20T13:57:58Z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