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Plan de comisionamiento e implementación de Infraestrutura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Proyecto de cierre brecha, Brecha, Infraestructura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0ad6129 del 07 Mar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4" w:name="X2b3e2a70662d7cbaa79f8e85167a02849b2cf4a"/>
    <w:p>
      <w:pPr>
        <w:pStyle w:val="Ttulo2"/>
      </w:pPr>
      <w:r>
        <w:t xml:space="preserve">Plan de Comisionamiento e Implementación de Infraestrutura</w:t>
      </w:r>
    </w:p>
    <w:p>
      <w:pPr>
        <w:pStyle w:val="FirstParagraph"/>
      </w:pPr>
      <w:r>
        <w:t xml:space="preserve">A partir de la comparativa de la industria (ver Fase 2, …), y de otros diagnósticos de fases anterior de este ejercicio, como el dominio de infraestructura (…) de la arquitectura de referencia (…), la vigilancia y avances de la industria (…), encontramos los siguientes proyectos de infraestructura a incluir en el plan de comisionamiento o adquisición de tecnología del FNA.</w:t>
      </w:r>
    </w:p>
    <w:p>
      <w:pPr>
        <w:pStyle w:val="Textoindependiente"/>
      </w:pPr>
      <w:r>
        <w:t xml:space="preserve">Conjugando todos los diagnósticos indicados, listamos los proyectos de adquisición y/o montaje de infraestructura requeridos para el plan de comisionamiento o adquisición tecnológica del FNA.</w:t>
      </w:r>
    </w:p>
    <w:bookmarkStart w:id="21" w:name="arquitectura-soa"/>
    <w:p>
      <w:pPr>
        <w:pStyle w:val="Ttulo3"/>
      </w:pPr>
      <w:r>
        <w:t xml:space="preserve">Arquitectura SOA</w:t>
      </w:r>
    </w:p>
    <w:p>
      <w:pPr>
        <w:pStyle w:val="FirstParagraph"/>
      </w:pPr>
      <w:r>
        <w:t xml:space="preserve">Adquisición de licencias de la herramienta de modelado de arquitectura y de herramientas adicionales de modelado de arquitecturas de servicios, como Integration Designer de IBM, licencias de ejecución y programación de modelos Archimate.</w:t>
      </w:r>
    </w:p>
    <w:p>
      <w:pPr>
        <w:pStyle w:val="Textoindependiente"/>
      </w:pPr>
    </w:p>
    <w:bookmarkEnd w:id="21"/>
    <w:bookmarkStart w:id="22" w:name="gobierno-soa"/>
    <w:p>
      <w:pPr>
        <w:pStyle w:val="Ttulo3"/>
      </w:pPr>
      <w:r>
        <w:t xml:space="preserve">Gobierno SOA</w:t>
      </w:r>
    </w:p>
    <w:p>
      <w:pPr>
        <w:pStyle w:val="FirstParagraph"/>
      </w:pPr>
      <w:r>
        <w:t xml:space="preserve">Adicional a la infraestructura de software relacionado con el Gobierno SOA, el FNA debe considerar en su plan de adquisición de tecnología e infraestructura las indicadas a continuación:</w:t>
      </w:r>
      <w:r>
        <w:t xml:space="preserve"> </w:t>
      </w:r>
      <w:r>
        <w:t xml:space="preserve">(Arquitectura de referencia SOA) servidores de aplicación y funciones de nube sin servidor para implementar la mejora de servicios SOA incorporada en la arquitectura de referencia 2.0 (</w:t>
      </w:r>
      <w:r>
        <w:rPr>
          <w:iCs/>
          <w:i/>
        </w:rPr>
        <w:t xml:space="preserve">service mesh</w:t>
      </w:r>
      <w:r>
        <w:t xml:space="preserve">), servidores o servicios de aplicación para la implementación de GraphQL, y una subscripción individual adicional con el proveedor de nube (CSP) adjudicado al FNA. Sumamos a estas adquisiciones de infraestrctura otras de índole operativa, pero complementarias, e igualmente necesarias. Se tratan de las herramienta y licencias de documentación y generación de contenido técnico, como manuales, procedimientos, lecciones, configuración de compoenntes, entre otros.</w:t>
      </w:r>
    </w:p>
    <w:p>
      <w:pPr>
        <w:pStyle w:val="Textoindependiente"/>
      </w:pPr>
    </w:p>
    <w:bookmarkEnd w:id="22"/>
    <w:bookmarkStart w:id="23" w:name="estrategia-de-versionamiento"/>
    <w:p>
      <w:pPr>
        <w:pStyle w:val="Ttulo3"/>
      </w:pPr>
      <w:r>
        <w:t xml:space="preserve">Estrategia de Versionamiento</w:t>
      </w:r>
    </w:p>
    <w:p>
      <w:pPr>
        <w:pStyle w:val="FirstParagraph"/>
      </w:pPr>
      <w:r>
        <w:t xml:space="preserve">Los proyectos de adquisición tecnológicas que relacionaremos aquí para el manejo de versión tienen que ver únicamente con el versionamiento de los servicios y API, que son los componentes activos hacia los que apunta la arquitectura de referencia SOA 2.0 diagnosticada por este ejercicio. En este sentido, tenemos: para el manejo de la gestión del cambio se requiere la adquisición de los equipos y licencias de un API Gateway (el que la entidad elija pero compatible con la arquitectura 2.0), junto con los equipos para la ejecución de las Herramientas de documentación y gestión de las versiones de servicios, como Swagger, MadCap Flare, y OpenAPI.</w:t>
      </w:r>
    </w:p>
    <w:p>
      <w:pPr>
        <w:pStyle w:val="Textoindependiente"/>
      </w:pPr>
    </w:p>
    <w:p>
      <w:pPr>
        <w:numPr>
          <w:ilvl w:val="0"/>
          <w:numId w:val="1001"/>
        </w:numPr>
        <w:pStyle w:val="Compact"/>
      </w:pPr>
      <w:r>
        <w:t xml:space="preserve">Monitoreo y Operación</w:t>
      </w:r>
    </w:p>
    <w:p>
      <w:pPr>
        <w:numPr>
          <w:ilvl w:val="0"/>
          <w:numId w:val="1001"/>
        </w:numPr>
        <w:pStyle w:val="Compact"/>
      </w:pPr>
      <w:r>
        <w:t xml:space="preserve">Mantenimiento y Evolución</w:t>
      </w:r>
    </w:p>
    <w:p>
      <w:pPr>
        <w:numPr>
          <w:ilvl w:val="0"/>
          <w:numId w:val="1001"/>
        </w:numPr>
        <w:pStyle w:val="Compact"/>
      </w:pPr>
      <w:r>
        <w:t xml:space="preserve">Nuevas tecnologías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2023-03-07T21:24:48Z</dcterms:created>
  <dcterms:modified xsi:type="dcterms:W3CDTF">2023-03-07T21:24:48Z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