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5.png" ContentType="image/png"/>
  <Override PartName="/word/media/rId56.png" ContentType="image/png"/>
  <Override PartName="/word/media/rId48.jpg" ContentType="image/jpeg"/>
  <Override PartName="/word/media/rId52.jpg" ContentType="image/jpeg"/>
  <Override PartName="/word/media/rId18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0ad6129</w:t>
        </w:r>
      </w:hyperlink>
      <w:r>
        <w:t xml:space="preserve"> </w:t>
      </w:r>
      <w:r>
        <w:t xml:space="preserve">de March 7, 2023.</w:t>
      </w:r>
    </w:p>
    <w:bookmarkStart w:id="26"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End w:id="26"/>
    <w:bookmarkStart w:id="27" w:name="fase-3-soa-objetivo"/>
    <w:p>
      <w:pPr>
        <w:pStyle w:val="Ttulo1"/>
      </w:pPr>
      <w:r>
        <w:t xml:space="preserve">Fase 3: SOA Objetivo</w:t>
      </w:r>
    </w:p>
    <w:bookmarkEnd w:id="27"/>
    <w:bookmarkStart w:id="28" w:name="Xde28353806a99316a61e306cd812fd556109b6d"/>
    <w:p>
      <w:pPr>
        <w:pStyle w:val="Ttulo1"/>
      </w:pPr>
      <w:r>
        <w:t xml:space="preserve">Contenido de los Productos Contractuales, 181-2020</w:t>
      </w:r>
    </w:p>
    <w:bookmarkEnd w:id="28"/>
    <w:bookmarkStart w:id="182"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0" w:name="justificación"/>
    <w:p>
      <w:pPr>
        <w:pStyle w:val="Ttulo2"/>
      </w:pPr>
      <w:r>
        <w:t xml:space="preserve">Justificación</w:t>
      </w:r>
    </w:p>
    <w:p>
      <w:pPr>
        <w:pStyle w:val="FirstParagraph"/>
      </w:pPr>
      <w:r>
        <w:t xml:space="preserve">Asegurar que la arquitectura SOA del Fondo apegada a la</w:t>
      </w:r>
      <w:r>
        <w:t xml:space="preserve"> </w:t>
      </w:r>
      <w:hyperlink r:id="rId2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0"/>
    <w:bookmarkStart w:id="31"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1"/>
    <w:bookmarkStart w:id="33"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0ad6129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33"/>
    <w:bookmarkStart w:id="41"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2">
        <w:r>
          <w:rPr>
            <w:rStyle w:val="Hipervnculo"/>
          </w:rPr>
          <w:t xml:space="preserve">04b.Resumen Fase 1</w:t>
        </w:r>
      </w:hyperlink>
      <w:r>
        <w:t xml:space="preserve">). Este análisis de brecha busca dos onjetivos concretos.</w:t>
      </w:r>
    </w:p>
    <w:p>
      <w:pPr>
        <w:pStyle w:val="Textoindependiente"/>
      </w:pPr>
    </w:p>
    <w:bookmarkStart w:id="34"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4"/>
    <w:bookmarkStart w:id="39"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6" name="Picture"/>
            <a:graphic>
              <a:graphicData uri="http://schemas.openxmlformats.org/drawingml/2006/picture">
                <pic:pic>
                  <pic:nvPicPr>
                    <pic:cNvPr descr="images/brecha1.png" id="37" name="Picture"/>
                    <pic:cNvPicPr>
                      <a:picLocks noChangeArrowheads="1" noChangeAspect="1"/>
                    </pic:cNvPicPr>
                  </pic:nvPicPr>
                  <pic:blipFill>
                    <a:blip r:embed="rId35"/>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39"/>
    <w:bookmarkStart w:id="40"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0ad6129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40"/>
    <w:bookmarkEnd w:id="41"/>
    <w:bookmarkStart w:id="46" w:name="análisis-de-brechas-del-fna.-iniciativas"/>
    <w:p>
      <w:pPr>
        <w:pStyle w:val="Ttulo2"/>
      </w:pPr>
      <w:r>
        <w:t xml:space="preserve">Análisis de Brechas del FNA. Iniciativas</w:t>
      </w:r>
    </w:p>
    <w:bookmarkStart w:id="42" w:name="iniciativa-a.-gobierno"/>
    <w:p>
      <w:pPr>
        <w:pStyle w:val="Ttulo3"/>
      </w:pPr>
      <w:r>
        <w:t xml:space="preserve">Iniciativa A. Gobierno</w:t>
      </w:r>
    </w:p>
    <w:p>
      <w:pPr>
        <w:numPr>
          <w:ilvl w:val="0"/>
          <w:numId w:val="1005"/>
        </w:numPr>
        <w:pStyle w:val="Compact"/>
      </w:pPr>
      <w:r>
        <w:t xml:space="preserve">A1 Gobierno SOA</w:t>
      </w:r>
    </w:p>
    <w:p>
      <w:pPr>
        <w:numPr>
          <w:ilvl w:val="0"/>
          <w:numId w:val="1005"/>
        </w:numPr>
        <w:pStyle w:val="Compact"/>
      </w:pPr>
      <w:r>
        <w:t xml:space="preserve">A2 Oficina de arquitectura</w:t>
      </w:r>
    </w:p>
    <w:bookmarkEnd w:id="42"/>
    <w:bookmarkStart w:id="43" w:name="b-iniciativa-b.-servicios-y-negocio"/>
    <w:p>
      <w:pPr>
        <w:pStyle w:val="Ttulo3"/>
      </w:pPr>
      <w:r>
        <w:t xml:space="preserve">B Iniciativa B. Servicios y Negocio</w:t>
      </w:r>
    </w:p>
    <w:p>
      <w:pPr>
        <w:numPr>
          <w:ilvl w:val="0"/>
          <w:numId w:val="1006"/>
        </w:numPr>
        <w:pStyle w:val="Compact"/>
      </w:pPr>
      <w:r>
        <w:t xml:space="preserve">B1 Gestión arquitectura 2.0</w:t>
      </w:r>
    </w:p>
    <w:p>
      <w:pPr>
        <w:numPr>
          <w:ilvl w:val="0"/>
          <w:numId w:val="1006"/>
        </w:numPr>
        <w:pStyle w:val="Compact"/>
      </w:pPr>
      <w:r>
        <w:t xml:space="preserve">B2 Microservicios</w:t>
      </w:r>
    </w:p>
    <w:p>
      <w:pPr>
        <w:numPr>
          <w:ilvl w:val="0"/>
          <w:numId w:val="1006"/>
        </w:numPr>
        <w:pStyle w:val="Compact"/>
      </w:pPr>
      <w:r>
        <w:t xml:space="preserve">B3 Portafolio de API</w:t>
      </w:r>
    </w:p>
    <w:p>
      <w:pPr>
        <w:numPr>
          <w:ilvl w:val="0"/>
          <w:numId w:val="1006"/>
        </w:numPr>
        <w:pStyle w:val="Compact"/>
      </w:pPr>
      <w:r>
        <w:t xml:space="preserve">B3.1 API Crédito constructor</w:t>
      </w:r>
    </w:p>
    <w:bookmarkEnd w:id="43"/>
    <w:bookmarkStart w:id="44" w:name="iniciativa-c.-plataforma-tecnológica"/>
    <w:p>
      <w:pPr>
        <w:pStyle w:val="Ttulo3"/>
      </w:pPr>
      <w:r>
        <w:t xml:space="preserve">Iniciativa C. Plataforma tecnológica</w:t>
      </w:r>
    </w:p>
    <w:p>
      <w:pPr>
        <w:numPr>
          <w:ilvl w:val="0"/>
          <w:numId w:val="1007"/>
        </w:numPr>
        <w:pStyle w:val="Compact"/>
      </w:pPr>
      <w:r>
        <w:t xml:space="preserve">C1 Service Mesh</w:t>
      </w:r>
    </w:p>
    <w:p>
      <w:pPr>
        <w:numPr>
          <w:ilvl w:val="0"/>
          <w:numId w:val="1007"/>
        </w:numPr>
        <w:pStyle w:val="Compact"/>
      </w:pPr>
      <w:r>
        <w:t xml:space="preserve">C2 Plataforma Híbrida de Integración</w:t>
      </w:r>
    </w:p>
    <w:p>
      <w:pPr>
        <w:numPr>
          <w:ilvl w:val="0"/>
          <w:numId w:val="1007"/>
        </w:numPr>
        <w:pStyle w:val="Compact"/>
      </w:pPr>
      <w:r>
        <w:t xml:space="preserve">C3 Hub de Integración Digital</w:t>
      </w:r>
    </w:p>
    <w:bookmarkEnd w:id="44"/>
    <w:bookmarkStart w:id="45" w:name="iniciativa-e.-infraestructura"/>
    <w:p>
      <w:pPr>
        <w:pStyle w:val="Ttulo3"/>
      </w:pPr>
      <w:r>
        <w:t xml:space="preserve">Iniciativa E. Infraestructura</w:t>
      </w:r>
    </w:p>
    <w:p>
      <w:pPr>
        <w:numPr>
          <w:ilvl w:val="0"/>
          <w:numId w:val="1008"/>
        </w:numPr>
        <w:pStyle w:val="Compact"/>
      </w:pPr>
      <w:r>
        <w:t xml:space="preserve">E1 Infraestructura</w:t>
      </w:r>
    </w:p>
    <w:p>
      <w:pPr>
        <w:pStyle w:val="FirstParagraph"/>
      </w:pPr>
    </w:p>
    <w:bookmarkEnd w:id="45"/>
    <w:bookmarkEnd w:id="46"/>
    <w:bookmarkStart w:id="47"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7"/>
    <w:bookmarkStart w:id="5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9" name="Picture"/>
            <a:graphic>
              <a:graphicData uri="http://schemas.openxmlformats.org/drawingml/2006/picture">
                <pic:pic>
                  <pic:nvPicPr>
                    <pic:cNvPr descr="images/brechaCreditoCostructor.jpg" id="50" name="Picture"/>
                    <pic:cNvPicPr>
                      <a:picLocks noChangeArrowheads="1" noChangeAspect="1"/>
                    </pic:cNvPicPr>
                  </pic:nvPicPr>
                  <pic:blipFill>
                    <a:blip r:embed="rId48"/>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51"/>
    <w:bookmarkStart w:id="5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53" name="Picture"/>
            <a:graphic>
              <a:graphicData uri="http://schemas.openxmlformats.org/drawingml/2006/picture">
                <pic:pic>
                  <pic:nvPicPr>
                    <pic:cNvPr descr="images/brechaESBFNA.jpg" id="54" name="Picture"/>
                    <pic:cNvPicPr>
                      <a:picLocks noChangeArrowheads="1" noChangeAspect="1"/>
                    </pic:cNvPicPr>
                  </pic:nvPicPr>
                  <pic:blipFill>
                    <a:blip r:embed="rId5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55"/>
    <w:bookmarkStart w:id="5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57" name="Picture"/>
            <a:graphic>
              <a:graphicData uri="http://schemas.openxmlformats.org/drawingml/2006/picture">
                <pic:pic>
                  <pic:nvPicPr>
                    <pic:cNvPr descr="images/brechaBizagi-Cobis.png" id="58" name="Picture"/>
                    <pic:cNvPicPr>
                      <a:picLocks noChangeArrowheads="1" noChangeAspect="1"/>
                    </pic:cNvPicPr>
                  </pic:nvPicPr>
                  <pic:blipFill>
                    <a:blip r:embed="rId5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0ad6129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59"/>
    <w:bookmarkStart w:id="181"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60" w:name="oportunidades-fna.-puntos-de-mejora"/>
    <w:p>
      <w:pPr>
        <w:pStyle w:val="Ttulo3"/>
      </w:pPr>
      <w:r>
        <w:t xml:space="preserve">Oportunidades FNA. Puntos de mejora</w:t>
      </w:r>
    </w:p>
    <w:p>
      <w:pPr>
        <w:numPr>
          <w:ilvl w:val="0"/>
          <w:numId w:val="1009"/>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9"/>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9"/>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9"/>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9"/>
        </w:numPr>
        <w:pStyle w:val="Compact"/>
      </w:pPr>
      <w:r>
        <w:t xml:space="preserve">OP5. Servicios FNA guiados por arquitectura 2.0. Mejorar el tiempo de puesta en producción. Modernizar las soluciones SOA mediante gestión de tecnologías de arquitectura 2.0.</w:t>
      </w:r>
    </w:p>
    <w:p>
      <w:pPr>
        <w:numPr>
          <w:ilvl w:val="0"/>
          <w:numId w:val="1009"/>
        </w:numPr>
        <w:pStyle w:val="Compact"/>
      </w:pPr>
      <w:r>
        <w:t xml:space="preserve">OP6​. Gestión de la Tecnología (gobierno) orientada por arquitectura 2.0​. Activar las herramientas de monitoreo de los servicios e índices de eficacia SOA.</w:t>
      </w:r>
    </w:p>
    <w:p>
      <w:pPr>
        <w:numPr>
          <w:ilvl w:val="0"/>
          <w:numId w:val="1009"/>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9"/>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60"/>
    <w:bookmarkStart w:id="66" w:name="prioridades-de-aprovechamiento"/>
    <w:p>
      <w:pPr>
        <w:pStyle w:val="Ttulo3"/>
      </w:pPr>
      <w:r>
        <w:t xml:space="preserve">Prioridades de Aprovechamiento</w:t>
      </w:r>
    </w:p>
    <w:bookmarkStart w:id="61" w:name="prioridad-alta"/>
    <w:p>
      <w:pPr>
        <w:pStyle w:val="Ttulo4"/>
      </w:pPr>
      <w:r>
        <w:t xml:space="preserve">Prioridad Alta</w:t>
      </w:r>
    </w:p>
    <w:p>
      <w:pPr>
        <w:numPr>
          <w:ilvl w:val="0"/>
          <w:numId w:val="1010"/>
        </w:numPr>
        <w:pStyle w:val="Compact"/>
      </w:pPr>
      <w:r>
        <w:t xml:space="preserve">OP1. Gobierno SOA​</w:t>
      </w:r>
    </w:p>
    <w:p>
      <w:pPr>
        <w:numPr>
          <w:ilvl w:val="0"/>
          <w:numId w:val="1010"/>
        </w:numPr>
        <w:pStyle w:val="Compact"/>
      </w:pPr>
      <w:r>
        <w:t xml:space="preserve">OP7. Articulación y fortalecimiento del equipo de arquitectura​</w:t>
      </w:r>
    </w:p>
    <w:bookmarkEnd w:id="61"/>
    <w:bookmarkStart w:id="62" w:name="prioridad-media---alta"/>
    <w:p>
      <w:pPr>
        <w:pStyle w:val="Ttulo4"/>
      </w:pPr>
      <w:r>
        <w:t xml:space="preserve">Prioridad Media - Alta</w:t>
      </w:r>
    </w:p>
    <w:p>
      <w:pPr>
        <w:numPr>
          <w:ilvl w:val="0"/>
          <w:numId w:val="1011"/>
        </w:numPr>
        <w:pStyle w:val="Compact"/>
      </w:pPr>
      <w:r>
        <w:t xml:space="preserve">OP2. Diseño / construcción de soluciones SOA​</w:t>
      </w:r>
    </w:p>
    <w:p>
      <w:pPr>
        <w:numPr>
          <w:ilvl w:val="0"/>
          <w:numId w:val="1011"/>
        </w:numPr>
        <w:pStyle w:val="Compact"/>
      </w:pPr>
      <w:r>
        <w:t xml:space="preserve">OP5. Servicios FNA guiados por arquitectura versión 2.0​</w:t>
      </w:r>
    </w:p>
    <w:p>
      <w:pPr>
        <w:numPr>
          <w:ilvl w:val="0"/>
          <w:numId w:val="1011"/>
        </w:numPr>
        <w:pStyle w:val="Compact"/>
      </w:pPr>
      <w:r>
        <w:t xml:space="preserve">OP3. Oferta de servicios analíticos a la organización</w:t>
      </w:r>
    </w:p>
    <w:bookmarkEnd w:id="62"/>
    <w:bookmarkStart w:id="63" w:name="prioridad-media---media"/>
    <w:p>
      <w:pPr>
        <w:pStyle w:val="Ttulo4"/>
      </w:pPr>
      <w:r>
        <w:t xml:space="preserve">Prioridad Media - Media</w:t>
      </w:r>
    </w:p>
    <w:p>
      <w:pPr>
        <w:numPr>
          <w:ilvl w:val="0"/>
          <w:numId w:val="1012"/>
        </w:numPr>
        <w:pStyle w:val="Compact"/>
      </w:pPr>
      <w:r>
        <w:t xml:space="preserve">OP4. Aumentar la utilización de la Tecnología SOA​</w:t>
      </w:r>
    </w:p>
    <w:p>
      <w:pPr>
        <w:numPr>
          <w:ilvl w:val="0"/>
          <w:numId w:val="1012"/>
        </w:numPr>
        <w:pStyle w:val="Compact"/>
      </w:pPr>
      <w:r>
        <w:t xml:space="preserve">OP6. Gestión de tecnología (gobierno) orientada por arquitectura 2.0​</w:t>
      </w:r>
    </w:p>
    <w:p>
      <w:pPr>
        <w:numPr>
          <w:ilvl w:val="0"/>
          <w:numId w:val="1012"/>
        </w:numPr>
        <w:pStyle w:val="Compact"/>
      </w:pPr>
      <w:r>
        <w:t xml:space="preserve">OP8. Monitoreo de los índices de eficacia gobierno y diseño SOA</w:t>
      </w:r>
    </w:p>
    <w:bookmarkEnd w:id="63"/>
    <w:bookmarkStart w:id="64" w:name="prioridad-media---baja"/>
    <w:p>
      <w:pPr>
        <w:pStyle w:val="Ttulo4"/>
      </w:pPr>
      <w:r>
        <w:t xml:space="preserve">Prioridad Media - Baja</w:t>
      </w:r>
    </w:p>
    <w:p>
      <w:pPr>
        <w:numPr>
          <w:ilvl w:val="0"/>
          <w:numId w:val="1013"/>
        </w:numPr>
        <w:pStyle w:val="Compact"/>
      </w:pPr>
      <w:r>
        <w:t xml:space="preserve">N/A</w:t>
      </w:r>
    </w:p>
    <w:bookmarkEnd w:id="64"/>
    <w:bookmarkStart w:id="65" w:name="prioridad-baja"/>
    <w:p>
      <w:pPr>
        <w:pStyle w:val="Ttulo4"/>
      </w:pPr>
      <w:r>
        <w:t xml:space="preserve">Prioridad Baja</w:t>
      </w:r>
    </w:p>
    <w:p>
      <w:pPr>
        <w:numPr>
          <w:ilvl w:val="0"/>
          <w:numId w:val="1014"/>
        </w:numPr>
        <w:pStyle w:val="Compact"/>
      </w:pPr>
      <w:r>
        <w:t xml:space="preserve">N/A</w:t>
      </w:r>
    </w:p>
    <w:p>
      <w:pPr>
        <w:pStyle w:val="FirstParagraph"/>
      </w:pPr>
    </w:p>
    <w:bookmarkEnd w:id="65"/>
    <w:bookmarkEnd w:id="66"/>
    <w:bookmarkStart w:id="70"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2">
        <w:r>
          <w:rPr>
            <w:rStyle w:val="Hipervnculo"/>
          </w:rPr>
          <w:t xml:space="preserve">09b. Matriz de brechas</w:t>
        </w:r>
      </w:hyperlink>
      <w:r>
        <w:t xml:space="preserve">.</w:t>
      </w:r>
    </w:p>
    <w:p>
      <w:pPr>
        <w:pStyle w:val="Textoindependiente"/>
      </w:pPr>
    </w:p>
    <w:bookmarkStart w:id="67"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7"/>
    <w:bookmarkStart w:id="68"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2">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8"/>
    <w:bookmarkStart w:id="69"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0ad6129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69"/>
    <w:bookmarkEnd w:id="70"/>
    <w:bookmarkStart w:id="77" w:name="br01.-api-crédito-constructor"/>
    <w:p>
      <w:pPr>
        <w:pStyle w:val="Ttulo3"/>
      </w:pPr>
      <w:r>
        <w:t xml:space="preserve">BR01. API Crédito Constructor</w:t>
      </w:r>
    </w:p>
    <w:bookmarkStart w:id="71" w:name="objetivo"/>
    <w:p>
      <w:pPr>
        <w:pStyle w:val="Ttulo4"/>
      </w:pPr>
      <w:r>
        <w:t xml:space="preserve">Objetivo</w:t>
      </w:r>
    </w:p>
    <w:p>
      <w:pPr>
        <w:pStyle w:val="FirstParagraph"/>
      </w:pPr>
      <w:r>
        <w:t xml:space="preserve">Actualizar las interfaces de ejecución y exposición de funcionalidades (API) de Crédito Constructor.</w:t>
      </w:r>
    </w:p>
    <w:bookmarkEnd w:id="71"/>
    <w:bookmarkStart w:id="72" w:name="oportunidades-retos"/>
    <w:p>
      <w:pPr>
        <w:pStyle w:val="Ttulo4"/>
      </w:pPr>
      <w:r>
        <w:t xml:space="preserve">Oportunidades / Retos</w:t>
      </w:r>
    </w:p>
    <w:p>
      <w:pPr>
        <w:numPr>
          <w:ilvl w:val="0"/>
          <w:numId w:val="1015"/>
        </w:numPr>
        <w:pStyle w:val="Compact"/>
      </w:pPr>
      <w:r>
        <w:t xml:space="preserve">Convertir al producto Crédito Constructor en funcionalidades granulares, reutilizables y expuestas (privadas, protegidas y públicas)</w:t>
      </w:r>
    </w:p>
    <w:p>
      <w:pPr>
        <w:numPr>
          <w:ilvl w:val="0"/>
          <w:numId w:val="1015"/>
        </w:numPr>
        <w:pStyle w:val="Compact"/>
      </w:pPr>
      <w:r>
        <w:t xml:space="preserve">Comercializar el API de C. Constructor</w:t>
      </w:r>
    </w:p>
    <w:p>
      <w:pPr>
        <w:numPr>
          <w:ilvl w:val="0"/>
          <w:numId w:val="1015"/>
        </w:numPr>
        <w:pStyle w:val="Compact"/>
      </w:pPr>
      <w:r>
        <w:t xml:space="preserve">Estandarizar el modelo de integración e intercambio de datos</w:t>
      </w:r>
    </w:p>
    <w:bookmarkEnd w:id="72"/>
    <w:bookmarkStart w:id="73" w:name="alcance"/>
    <w:p>
      <w:pPr>
        <w:pStyle w:val="Ttulo4"/>
      </w:pPr>
      <w:r>
        <w:t xml:space="preserve">Alcance</w:t>
      </w:r>
    </w:p>
    <w:p>
      <w:pPr>
        <w:numPr>
          <w:ilvl w:val="0"/>
          <w:numId w:val="1016"/>
        </w:numPr>
        <w:pStyle w:val="Compact"/>
      </w:pPr>
      <w:r>
        <w:t xml:space="preserve">Estructurar e implementar funcionalidades del producto en forma de operaciones y datos expuestos (API)</w:t>
      </w:r>
    </w:p>
    <w:p>
      <w:pPr>
        <w:numPr>
          <w:ilvl w:val="0"/>
          <w:numId w:val="1016"/>
        </w:numPr>
        <w:pStyle w:val="Compact"/>
      </w:pPr>
      <w:r>
        <w:t xml:space="preserve">Establecer los nuevos consumidores de las API del producto</w:t>
      </w:r>
    </w:p>
    <w:p>
      <w:pPr>
        <w:numPr>
          <w:ilvl w:val="0"/>
          <w:numId w:val="1016"/>
        </w:numPr>
        <w:pStyle w:val="Compact"/>
      </w:pPr>
      <w:r>
        <w:t xml:space="preserve">Actualizar y modificar a los consumidores actuales (redirección)</w:t>
      </w:r>
    </w:p>
    <w:bookmarkEnd w:id="73"/>
    <w:bookmarkStart w:id="74" w:name="impacto-beneficio"/>
    <w:p>
      <w:pPr>
        <w:pStyle w:val="Ttulo4"/>
      </w:pPr>
      <w:r>
        <w:t xml:space="preserve">Impacto / Beneficio</w:t>
      </w:r>
    </w:p>
    <w:p>
      <w:pPr>
        <w:numPr>
          <w:ilvl w:val="0"/>
          <w:numId w:val="1017"/>
        </w:numPr>
        <w:pStyle w:val="Compact"/>
      </w:pPr>
      <w:r>
        <w:t xml:space="preserve">Proteger de impacto por cambios a los consumidores y ambos extremos de la integración</w:t>
      </w:r>
    </w:p>
    <w:p>
      <w:pPr>
        <w:numPr>
          <w:ilvl w:val="0"/>
          <w:numId w:val="1017"/>
        </w:numPr>
        <w:pStyle w:val="Compact"/>
      </w:pPr>
      <w:r>
        <w:t xml:space="preserve">Flexibilidad de modificación de las integraciones</w:t>
      </w:r>
    </w:p>
    <w:p>
      <w:pPr>
        <w:numPr>
          <w:ilvl w:val="0"/>
          <w:numId w:val="1017"/>
        </w:numPr>
        <w:pStyle w:val="Compact"/>
      </w:pPr>
      <w:r>
        <w:t xml:space="preserve">Modernización del modelo y tecnología de integración</w:t>
      </w:r>
    </w:p>
    <w:bookmarkEnd w:id="74"/>
    <w:bookmarkStart w:id="75" w:name="actores"/>
    <w:p>
      <w:pPr>
        <w:pStyle w:val="Ttulo4"/>
      </w:pPr>
      <w:r>
        <w:t xml:space="preserve">Actores</w:t>
      </w:r>
    </w:p>
    <w:p>
      <w:pPr>
        <w:numPr>
          <w:ilvl w:val="0"/>
          <w:numId w:val="1018"/>
        </w:numPr>
        <w:pStyle w:val="Compact"/>
      </w:pPr>
      <w:r>
        <w:t xml:space="preserve">Unidades de negocio</w:t>
      </w:r>
    </w:p>
    <w:p>
      <w:pPr>
        <w:numPr>
          <w:ilvl w:val="0"/>
          <w:numId w:val="1018"/>
        </w:numPr>
        <w:pStyle w:val="Compact"/>
      </w:pPr>
      <w:r>
        <w:t xml:space="preserve">Oficina de Arquitectura</w:t>
      </w:r>
    </w:p>
    <w:p>
      <w:pPr>
        <w:numPr>
          <w:ilvl w:val="0"/>
          <w:numId w:val="1018"/>
        </w:numPr>
        <w:pStyle w:val="Compact"/>
      </w:pPr>
      <w:r>
        <w:t xml:space="preserve">Proveedores del FNA (Cobis, IBM, Oracle)</w:t>
      </w:r>
    </w:p>
    <w:p>
      <w:pPr>
        <w:numPr>
          <w:ilvl w:val="0"/>
          <w:numId w:val="1018"/>
        </w:numPr>
        <w:pStyle w:val="Compact"/>
      </w:pPr>
      <w:r>
        <w:t xml:space="preserve">Consultores / fabricantes de apoyo</w:t>
      </w:r>
    </w:p>
    <w:bookmarkEnd w:id="75"/>
    <w:bookmarkStart w:id="76" w:name="tecnologias"/>
    <w:p>
      <w:pPr>
        <w:pStyle w:val="Ttulo4"/>
      </w:pPr>
      <w:r>
        <w:t xml:space="preserve">Tecnologias</w:t>
      </w:r>
    </w:p>
    <w:p>
      <w:pPr>
        <w:numPr>
          <w:ilvl w:val="0"/>
          <w:numId w:val="1019"/>
        </w:numPr>
        <w:pStyle w:val="Compact"/>
      </w:pPr>
      <w:r>
        <w:t xml:space="preserve">Portafolio de API</w:t>
      </w:r>
    </w:p>
    <w:p>
      <w:pPr>
        <w:numPr>
          <w:ilvl w:val="0"/>
          <w:numId w:val="1019"/>
        </w:numPr>
        <w:pStyle w:val="Compact"/>
      </w:pPr>
      <w:r>
        <w:t xml:space="preserve">Herramientas de diseño de API</w:t>
      </w:r>
    </w:p>
    <w:p>
      <w:pPr>
        <w:pStyle w:val="FirstParagraph"/>
      </w:pPr>
    </w:p>
    <w:bookmarkEnd w:id="76"/>
    <w:bookmarkEnd w:id="77"/>
    <w:bookmarkStart w:id="84" w:name="hub-de-integración-digital"/>
    <w:p>
      <w:pPr>
        <w:pStyle w:val="Ttulo3"/>
      </w:pPr>
      <w:r>
        <w:t xml:space="preserve">Hub de Integración Digital</w:t>
      </w:r>
    </w:p>
    <w:bookmarkStart w:id="78" w:name="objetivo-1"/>
    <w:p>
      <w:pPr>
        <w:pStyle w:val="Ttulo4"/>
      </w:pPr>
      <w:r>
        <w:t xml:space="preserve">Objetivo</w:t>
      </w:r>
    </w:p>
    <w:p>
      <w:pPr>
        <w:pStyle w:val="FirstParagraph"/>
      </w:pPr>
      <w:r>
        <w:t xml:space="preserve">Proveer una plataforma de datos de alta velocidad que intermedie entre el API Gateway y la Plataforma híbrida de Integración ​</w:t>
      </w:r>
    </w:p>
    <w:bookmarkEnd w:id="78"/>
    <w:bookmarkStart w:id="79" w:name="oportunidades-retos-1"/>
    <w:p>
      <w:pPr>
        <w:pStyle w:val="Ttulo4"/>
      </w:pPr>
      <w:r>
        <w:t xml:space="preserve">Oportunidades / Retos</w:t>
      </w:r>
    </w:p>
    <w:p>
      <w:pPr>
        <w:numPr>
          <w:ilvl w:val="0"/>
          <w:numId w:val="1020"/>
        </w:numPr>
        <w:pStyle w:val="Compact"/>
      </w:pPr>
      <w:r>
        <w:t xml:space="preserve">Desacoplamiento de sistemas de información​</w:t>
      </w:r>
    </w:p>
    <w:p>
      <w:pPr>
        <w:numPr>
          <w:ilvl w:val="0"/>
          <w:numId w:val="1020"/>
        </w:numPr>
        <w:pStyle w:val="Compact"/>
      </w:pPr>
      <w:r>
        <w:t xml:space="preserve">Consulta de información con baja latencia​</w:t>
      </w:r>
    </w:p>
    <w:p>
      <w:pPr>
        <w:numPr>
          <w:ilvl w:val="0"/>
          <w:numId w:val="1020"/>
        </w:numPr>
        <w:pStyle w:val="Compact"/>
      </w:pPr>
      <w:r>
        <w:t xml:space="preserve">Alimentación a la zona de analítica​</w:t>
      </w:r>
    </w:p>
    <w:bookmarkEnd w:id="79"/>
    <w:bookmarkStart w:id="80" w:name="actores-1"/>
    <w:p>
      <w:pPr>
        <w:pStyle w:val="Ttulo4"/>
      </w:pPr>
      <w:r>
        <w:t xml:space="preserve">Actores</w:t>
      </w:r>
    </w:p>
    <w:p>
      <w:pPr>
        <w:numPr>
          <w:ilvl w:val="0"/>
          <w:numId w:val="1021"/>
        </w:numPr>
        <w:pStyle w:val="Compact"/>
      </w:pPr>
      <w:r>
        <w:t xml:space="preserve">Encargados de infraestructura y operaciones​</w:t>
      </w:r>
    </w:p>
    <w:p>
      <w:pPr>
        <w:numPr>
          <w:ilvl w:val="0"/>
          <w:numId w:val="1021"/>
        </w:numPr>
        <w:pStyle w:val="Compact"/>
      </w:pPr>
      <w:r>
        <w:t xml:space="preserve">Oficina de arquitectura​</w:t>
      </w:r>
    </w:p>
    <w:p>
      <w:pPr>
        <w:numPr>
          <w:ilvl w:val="0"/>
          <w:numId w:val="1021"/>
        </w:numPr>
        <w:pStyle w:val="Compact"/>
      </w:pPr>
      <w:r>
        <w:t xml:space="preserve">Consultores de soporte​</w:t>
      </w:r>
    </w:p>
    <w:bookmarkEnd w:id="80"/>
    <w:bookmarkStart w:id="81" w:name="impacto-beneficio-1"/>
    <w:p>
      <w:pPr>
        <w:pStyle w:val="Ttulo4"/>
      </w:pPr>
      <w:r>
        <w:t xml:space="preserve">Impacto / Beneficio</w:t>
      </w:r>
    </w:p>
    <w:p>
      <w:pPr>
        <w:numPr>
          <w:ilvl w:val="0"/>
          <w:numId w:val="1022"/>
        </w:numPr>
        <w:pStyle w:val="Compact"/>
      </w:pPr>
      <w:r>
        <w:t xml:space="preserve">Soporte a esquemas híbridos de despliegue (on-premises y cloud)​</w:t>
      </w:r>
    </w:p>
    <w:p>
      <w:pPr>
        <w:numPr>
          <w:ilvl w:val="0"/>
          <w:numId w:val="1022"/>
        </w:numPr>
        <w:pStyle w:val="Compact"/>
      </w:pPr>
      <w:r>
        <w:t xml:space="preserve">Implementación de prácticas DevOps como despliegue continuo e integración continua​</w:t>
      </w:r>
    </w:p>
    <w:p>
      <w:pPr>
        <w:numPr>
          <w:ilvl w:val="0"/>
          <w:numId w:val="1022"/>
        </w:numPr>
        <w:pStyle w:val="Compact"/>
      </w:pPr>
      <w:r>
        <w:t xml:space="preserve">Mayor acceso y velocidad a los datos operativos y analíticos de la organización​</w:t>
      </w:r>
    </w:p>
    <w:bookmarkEnd w:id="81"/>
    <w:bookmarkStart w:id="82" w:name="alcance-1"/>
    <w:p>
      <w:pPr>
        <w:pStyle w:val="Ttulo4"/>
      </w:pPr>
      <w:r>
        <w:t xml:space="preserve">Alcance</w:t>
      </w:r>
    </w:p>
    <w:p>
      <w:pPr>
        <w:numPr>
          <w:ilvl w:val="0"/>
          <w:numId w:val="1023"/>
        </w:numPr>
        <w:pStyle w:val="Compact"/>
      </w:pPr>
      <w:r>
        <w:t xml:space="preserve">Arquitectura de integración​</w:t>
      </w:r>
    </w:p>
    <w:p>
      <w:pPr>
        <w:numPr>
          <w:ilvl w:val="0"/>
          <w:numId w:val="1023"/>
        </w:numPr>
        <w:pStyle w:val="Compact"/>
      </w:pPr>
      <w:r>
        <w:t xml:space="preserve">Integración con el API Gateway y la plataforma híbrida de integración​</w:t>
      </w:r>
    </w:p>
    <w:p>
      <w:pPr>
        <w:numPr>
          <w:ilvl w:val="0"/>
          <w:numId w:val="1023"/>
        </w:numPr>
        <w:pStyle w:val="Compact"/>
      </w:pPr>
      <w:r>
        <w:t xml:space="preserve">Integración en un proceso misional​</w:t>
      </w:r>
    </w:p>
    <w:bookmarkEnd w:id="82"/>
    <w:bookmarkStart w:id="83" w:name="tecnología"/>
    <w:p>
      <w:pPr>
        <w:pStyle w:val="Ttulo4"/>
      </w:pPr>
      <w:r>
        <w:t xml:space="preserve">Tecnología</w:t>
      </w:r>
    </w:p>
    <w:p>
      <w:pPr>
        <w:numPr>
          <w:ilvl w:val="0"/>
          <w:numId w:val="1024"/>
        </w:numPr>
        <w:pStyle w:val="Compact"/>
      </w:pPr>
      <w:r>
        <w:t xml:space="preserve">Hub de Integración Digital</w:t>
      </w:r>
    </w:p>
    <w:p>
      <w:pPr>
        <w:pStyle w:val="FirstParagraph"/>
      </w:pPr>
    </w:p>
    <w:bookmarkEnd w:id="83"/>
    <w:bookmarkEnd w:id="84"/>
    <w:bookmarkStart w:id="90" w:name="data-mesh"/>
    <w:p>
      <w:pPr>
        <w:pStyle w:val="Ttulo3"/>
      </w:pPr>
      <w:r>
        <w:t xml:space="preserve">Data Mesh</w:t>
      </w:r>
    </w:p>
    <w:bookmarkStart w:id="85" w:name="objetivo-2"/>
    <w:p>
      <w:pPr>
        <w:pStyle w:val="Ttulo4"/>
      </w:pPr>
      <w:r>
        <w:t xml:space="preserve">Objetivo</w:t>
      </w:r>
    </w:p>
    <w:p>
      <w:pPr>
        <w:pStyle w:val="FirstParagraph"/>
      </w:pPr>
      <w:r>
        <w:t xml:space="preserve">Implementar una estrategia de datos que permita al FNA gestionar sus datos como un activo y aumentar el valor que obtiene de sus datos mediante la identificación de oportunidades para el uso de datos, reducción de costos y mitigación de riesgos​</w:t>
      </w:r>
    </w:p>
    <w:bookmarkEnd w:id="85"/>
    <w:bookmarkStart w:id="86" w:name="oportunidades-retos-2"/>
    <w:p>
      <w:pPr>
        <w:pStyle w:val="Ttulo4"/>
      </w:pPr>
      <w:r>
        <w:t xml:space="preserve">Oportunidades / Retos</w:t>
      </w:r>
    </w:p>
    <w:p>
      <w:pPr>
        <w:numPr>
          <w:ilvl w:val="0"/>
          <w:numId w:val="1025"/>
        </w:numPr>
        <w:pStyle w:val="Compact"/>
      </w:pPr>
      <w:r>
        <w:t xml:space="preserve">Traducir las necesidades del negocio en requerimientos de datos y de sistemas para que los procesos tengan de manera consistente los datos que requieren​</w:t>
      </w:r>
    </w:p>
    <w:p>
      <w:pPr>
        <w:numPr>
          <w:ilvl w:val="0"/>
          <w:numId w:val="1025"/>
        </w:numPr>
        <w:pStyle w:val="Compact"/>
      </w:pPr>
      <w:r>
        <w:t xml:space="preserve">Preparar estratégicamente al FNA es para evolucionar rápidamente sus productos, servicios y datos para aprovechar las oportunidades comerciales inherentes a las tecnologías emergentes​</w:t>
      </w:r>
    </w:p>
    <w:bookmarkEnd w:id="86"/>
    <w:bookmarkStart w:id="87" w:name="actores-2"/>
    <w:p>
      <w:pPr>
        <w:pStyle w:val="Ttulo4"/>
      </w:pPr>
      <w:r>
        <w:t xml:space="preserve">Actores</w:t>
      </w:r>
    </w:p>
    <w:p>
      <w:pPr>
        <w:numPr>
          <w:ilvl w:val="0"/>
          <w:numId w:val="1026"/>
        </w:numPr>
        <w:pStyle w:val="Compact"/>
      </w:pPr>
      <w:r>
        <w:t xml:space="preserve">Oficina de Arquitectura FNA​</w:t>
      </w:r>
    </w:p>
    <w:p>
      <w:pPr>
        <w:numPr>
          <w:ilvl w:val="0"/>
          <w:numId w:val="1026"/>
        </w:numPr>
        <w:pStyle w:val="Compact"/>
      </w:pPr>
      <w:r>
        <w:t xml:space="preserve">Consultores de apoyo​</w:t>
      </w:r>
    </w:p>
    <w:p>
      <w:pPr>
        <w:numPr>
          <w:ilvl w:val="0"/>
          <w:numId w:val="1026"/>
        </w:numPr>
        <w:pStyle w:val="Compact"/>
      </w:pPr>
      <w:r>
        <w:t xml:space="preserve">Arquitecto de Datos​</w:t>
      </w:r>
    </w:p>
    <w:bookmarkEnd w:id="87"/>
    <w:bookmarkStart w:id="88" w:name="impacto-beneficio-2"/>
    <w:p>
      <w:pPr>
        <w:pStyle w:val="Ttulo4"/>
      </w:pPr>
      <w:r>
        <w:t xml:space="preserve">Impacto / Beneficio</w:t>
      </w:r>
    </w:p>
    <w:p>
      <w:pPr>
        <w:numPr>
          <w:ilvl w:val="0"/>
          <w:numId w:val="1027"/>
        </w:numPr>
        <w:pStyle w:val="Compact"/>
      </w:pPr>
      <w:r>
        <w:t xml:space="preserve">Facilitar la alineación entre el negocio y TI​</w:t>
      </w:r>
    </w:p>
    <w:p>
      <w:pPr>
        <w:numPr>
          <w:ilvl w:val="0"/>
          <w:numId w:val="1027"/>
        </w:numPr>
        <w:pStyle w:val="Compact"/>
      </w:pPr>
      <w:r>
        <w:t xml:space="preserve">Diseños de estructuras y planes que cumplan con los requerimientos de datos actuales y a largo plazo para el FNA​</w:t>
      </w:r>
    </w:p>
    <w:p>
      <w:pPr>
        <w:numPr>
          <w:ilvl w:val="0"/>
          <w:numId w:val="1027"/>
        </w:numPr>
        <w:pStyle w:val="Compact"/>
      </w:pPr>
      <w:r>
        <w:t xml:space="preserve">Usar la Arquitectura de Datos para establecer la semántica de una empresa, a través de un vocabulario común del negocio​</w:t>
      </w:r>
      <w:r>
        <w:t xml:space="preserve"> </w:t>
      </w:r>
      <w:r>
        <w:t xml:space="preserve">​</w:t>
      </w:r>
      <w:r>
        <w:br/>
      </w:r>
      <w:r>
        <w:t xml:space="preserve">#### Alcance</w:t>
      </w:r>
    </w:p>
    <w:p>
      <w:pPr>
        <w:numPr>
          <w:ilvl w:val="0"/>
          <w:numId w:val="1027"/>
        </w:numPr>
        <w:pStyle w:val="Compact"/>
      </w:pPr>
      <w:r>
        <w:t xml:space="preserve">Producir las versiones iniciales de los artefactos de Arquitectura de Datos, como el modelo de datos empresarial, el mapa de flujo de datos y mapas de ruta de toda la empresa​</w:t>
      </w:r>
    </w:p>
    <w:p>
      <w:pPr>
        <w:numPr>
          <w:ilvl w:val="0"/>
          <w:numId w:val="1027"/>
        </w:numPr>
        <w:pStyle w:val="Compact"/>
      </w:pPr>
      <w:r>
        <w:t xml:space="preserve">Alinear la Arquitectura de Datos con la estrategia empresarial y la arquitectura de negocio​</w:t>
      </w:r>
    </w:p>
    <w:p>
      <w:pPr>
        <w:numPr>
          <w:ilvl w:val="0"/>
          <w:numId w:val="1027"/>
        </w:numPr>
        <w:pStyle w:val="Compact"/>
      </w:pPr>
      <w:r>
        <w:t xml:space="preserve">Definir un modelo canónico de datos basado en un modelo unificado de datos y que permita incrementalmente la implementación de un Data Mesh​</w:t>
      </w:r>
    </w:p>
    <w:bookmarkEnd w:id="88"/>
    <w:bookmarkStart w:id="89" w:name="tecnología-1"/>
    <w:p>
      <w:pPr>
        <w:pStyle w:val="Ttulo4"/>
      </w:pPr>
      <w:r>
        <w:t xml:space="preserve">Tecnología</w:t>
      </w:r>
    </w:p>
    <w:p>
      <w:pPr>
        <w:numPr>
          <w:ilvl w:val="0"/>
          <w:numId w:val="1028"/>
        </w:numPr>
        <w:pStyle w:val="Compact"/>
      </w:pPr>
      <w:r>
        <w:t xml:space="preserve">Herramientas de modelado de datos</w:t>
      </w:r>
    </w:p>
    <w:p>
      <w:pPr>
        <w:numPr>
          <w:ilvl w:val="0"/>
          <w:numId w:val="1028"/>
        </w:numPr>
        <w:pStyle w:val="Compact"/>
      </w:pPr>
      <w:r>
        <w:t xml:space="preserve">Herramientas que provea servicios de implementación de Data Mesh (Ingesta, almacenamiento, explotación)</w:t>
      </w:r>
    </w:p>
    <w:p>
      <w:pPr>
        <w:numPr>
          <w:ilvl w:val="0"/>
          <w:numId w:val="1028"/>
        </w:numPr>
        <w:pStyle w:val="Compact"/>
      </w:pPr>
      <w:r>
        <w:t xml:space="preserve">Repositorio de Arquitectura</w:t>
      </w:r>
    </w:p>
    <w:p>
      <w:pPr>
        <w:pStyle w:val="FirstParagraph"/>
      </w:pPr>
    </w:p>
    <w:bookmarkEnd w:id="89"/>
    <w:bookmarkEnd w:id="90"/>
    <w:bookmarkStart w:id="97" w:name="gobierno-de-datos"/>
    <w:p>
      <w:pPr>
        <w:pStyle w:val="Ttulo3"/>
      </w:pPr>
      <w:r>
        <w:t xml:space="preserve">Gobierno de Datos</w:t>
      </w:r>
    </w:p>
    <w:bookmarkStart w:id="91" w:name="objetivo-3"/>
    <w:p>
      <w:pPr>
        <w:pStyle w:val="Ttulo4"/>
      </w:pPr>
      <w:r>
        <w:t xml:space="preserve">Objetivo</w:t>
      </w:r>
    </w:p>
    <w:p>
      <w:pPr>
        <w:pStyle w:val="FirstParagraph"/>
      </w:pPr>
      <w:r>
        <w:t xml:space="preserve">Implementar la estrategia de gobierno de datos que permita tener autoridad y control sobre la gestión de los activos de datos del FNA​</w:t>
      </w:r>
    </w:p>
    <w:bookmarkEnd w:id="91"/>
    <w:bookmarkStart w:id="92" w:name="oportunidades-retos-3"/>
    <w:p>
      <w:pPr>
        <w:pStyle w:val="Ttulo4"/>
      </w:pPr>
      <w:r>
        <w:t xml:space="preserve">Oportunidades / Retos</w:t>
      </w:r>
    </w:p>
    <w:p>
      <w:pPr>
        <w:numPr>
          <w:ilvl w:val="0"/>
          <w:numId w:val="1029"/>
        </w:numPr>
        <w:pStyle w:val="Compact"/>
      </w:pPr>
      <w:r>
        <w:t xml:space="preserve">Habilitar un FNA que gestione los datos como un activo​</w:t>
      </w:r>
    </w:p>
    <w:p>
      <w:pPr>
        <w:numPr>
          <w:ilvl w:val="0"/>
          <w:numId w:val="1029"/>
        </w:numPr>
        <w:pStyle w:val="Compact"/>
      </w:pPr>
      <w:r>
        <w:t xml:space="preserve">Definir, aprobar, comunicar e implementar principios, políticas, métricas, herramientas y responsabilidades para la gestión de los datos​</w:t>
      </w:r>
    </w:p>
    <w:p>
      <w:pPr>
        <w:numPr>
          <w:ilvl w:val="0"/>
          <w:numId w:val="1029"/>
        </w:numPr>
        <w:pStyle w:val="Compact"/>
      </w:pPr>
      <w:r>
        <w:t xml:space="preserve">Monitorear, mantener y guiar el cumplimiento de la políticas sobre la gestión y uso de datos ​</w:t>
      </w:r>
    </w:p>
    <w:bookmarkEnd w:id="92"/>
    <w:bookmarkStart w:id="93" w:name="actores-3"/>
    <w:p>
      <w:pPr>
        <w:pStyle w:val="Ttulo4"/>
      </w:pPr>
      <w:r>
        <w:t xml:space="preserve">Actores</w:t>
      </w:r>
    </w:p>
    <w:p>
      <w:pPr>
        <w:numPr>
          <w:ilvl w:val="0"/>
          <w:numId w:val="1030"/>
        </w:numPr>
        <w:pStyle w:val="Compact"/>
      </w:pPr>
      <w:r>
        <w:t xml:space="preserve">Comité de gobierno del FNA​</w:t>
      </w:r>
    </w:p>
    <w:p>
      <w:pPr>
        <w:numPr>
          <w:ilvl w:val="0"/>
          <w:numId w:val="1030"/>
        </w:numPr>
        <w:pStyle w:val="Compact"/>
      </w:pPr>
      <w:r>
        <w:t xml:space="preserve">Oficina de arquitectura FNA - Oficina de ​gobierno de datos</w:t>
      </w:r>
    </w:p>
    <w:p>
      <w:pPr>
        <w:numPr>
          <w:ilvl w:val="0"/>
          <w:numId w:val="1030"/>
        </w:numPr>
        <w:pStyle w:val="Compact"/>
      </w:pPr>
      <w:r>
        <w:t xml:space="preserve">Especialista en Gobierno de Datos​</w:t>
      </w:r>
    </w:p>
    <w:bookmarkEnd w:id="93"/>
    <w:bookmarkStart w:id="94" w:name="impacto-beneficio-3"/>
    <w:p>
      <w:pPr>
        <w:pStyle w:val="Ttulo4"/>
      </w:pPr>
      <w:r>
        <w:t xml:space="preserve">Impacto / Beneficio</w:t>
      </w:r>
    </w:p>
    <w:p>
      <w:pPr>
        <w:numPr>
          <w:ilvl w:val="0"/>
          <w:numId w:val="1031"/>
        </w:numPr>
        <w:pStyle w:val="Compact"/>
      </w:pPr>
      <w:r>
        <w:t xml:space="preserve">Cumplimiento regulatorio​</w:t>
      </w:r>
    </w:p>
    <w:p>
      <w:pPr>
        <w:numPr>
          <w:ilvl w:val="0"/>
          <w:numId w:val="1031"/>
        </w:numPr>
        <w:pStyle w:val="Compact"/>
      </w:pPr>
      <w:r>
        <w:t xml:space="preserve">Eficiencia en proyectos de desarrollo y productos de datos​</w:t>
      </w:r>
    </w:p>
    <w:p>
      <w:pPr>
        <w:numPr>
          <w:ilvl w:val="0"/>
          <w:numId w:val="1031"/>
        </w:numPr>
        <w:pStyle w:val="Compact"/>
      </w:pPr>
      <w:r>
        <w:t xml:space="preserve">Gestión de proveedores​</w:t>
      </w:r>
    </w:p>
    <w:bookmarkEnd w:id="94"/>
    <w:bookmarkStart w:id="95" w:name="alcance-2"/>
    <w:p>
      <w:pPr>
        <w:pStyle w:val="Ttulo4"/>
      </w:pPr>
      <w:r>
        <w:t xml:space="preserve">Alcance</w:t>
      </w:r>
    </w:p>
    <w:p>
      <w:pPr>
        <w:numPr>
          <w:ilvl w:val="0"/>
          <w:numId w:val="1032"/>
        </w:numPr>
        <w:pStyle w:val="Compact"/>
      </w:pPr>
      <w:r>
        <w:t xml:space="preserve">Definir el gobierno de datos para el FNA​</w:t>
      </w:r>
    </w:p>
    <w:p>
      <w:pPr>
        <w:numPr>
          <w:ilvl w:val="0"/>
          <w:numId w:val="1032"/>
        </w:numPr>
        <w:pStyle w:val="Compact"/>
      </w:pPr>
      <w:r>
        <w:t xml:space="preserve">Definir e implementar la estrategía de datos para el FNA​</w:t>
      </w:r>
    </w:p>
    <w:p>
      <w:pPr>
        <w:numPr>
          <w:ilvl w:val="0"/>
          <w:numId w:val="1032"/>
        </w:numPr>
        <w:pStyle w:val="Compact"/>
      </w:pPr>
      <w:r>
        <w:t xml:space="preserve">Alinear el gobierno de datos con el gobierno SOA​</w:t>
      </w:r>
    </w:p>
    <w:bookmarkEnd w:id="95"/>
    <w:bookmarkStart w:id="96" w:name="tecnología-2"/>
    <w:p>
      <w:pPr>
        <w:pStyle w:val="Ttulo4"/>
      </w:pPr>
      <w:r>
        <w:t xml:space="preserve">Tecnología</w:t>
      </w:r>
    </w:p>
    <w:p>
      <w:pPr>
        <w:numPr>
          <w:ilvl w:val="0"/>
          <w:numId w:val="1033"/>
        </w:numPr>
        <w:pStyle w:val="Compact"/>
      </w:pPr>
      <w:r>
        <w:t xml:space="preserve">Herramienta de gobierno de datos</w:t>
      </w:r>
    </w:p>
    <w:p>
      <w:pPr>
        <w:numPr>
          <w:ilvl w:val="0"/>
          <w:numId w:val="1033"/>
        </w:numPr>
        <w:pStyle w:val="Compact"/>
      </w:pPr>
      <w:r>
        <w:t xml:space="preserve">Tablero de control de gobierno de datos</w:t>
      </w:r>
    </w:p>
    <w:p>
      <w:pPr>
        <w:pStyle w:val="FirstParagraph"/>
      </w:pPr>
    </w:p>
    <w:bookmarkEnd w:id="96"/>
    <w:bookmarkEnd w:id="97"/>
    <w:bookmarkStart w:id="104" w:name="gestión-de-datos-maestros"/>
    <w:p>
      <w:pPr>
        <w:pStyle w:val="Ttulo3"/>
      </w:pPr>
      <w:r>
        <w:t xml:space="preserve">Gestión de Datos Maestros</w:t>
      </w:r>
    </w:p>
    <w:bookmarkStart w:id="98" w:name="objetivo-4"/>
    <w:p>
      <w:pPr>
        <w:pStyle w:val="Ttulo4"/>
      </w:pPr>
      <w:r>
        <w:t xml:space="preserve">Objetivo</w:t>
      </w:r>
    </w:p>
    <w:p>
      <w:pPr>
        <w:pStyle w:val="FirstParagraph"/>
      </w:pPr>
      <w:r>
        <w:t xml:space="preserve">Implementar una estrategia de gestión de datos compartidos para conocer objetivos organizacionales reduciendo la redundancia de los datos y los costos de integración de los datos​</w:t>
      </w:r>
    </w:p>
    <w:bookmarkEnd w:id="98"/>
    <w:bookmarkStart w:id="99" w:name="oportunidades-retos-4"/>
    <w:p>
      <w:pPr>
        <w:pStyle w:val="Ttulo4"/>
      </w:pPr>
      <w:r>
        <w:t xml:space="preserve">Oportunidades / Retos</w:t>
      </w:r>
    </w:p>
    <w:p>
      <w:pPr>
        <w:numPr>
          <w:ilvl w:val="0"/>
          <w:numId w:val="1034"/>
        </w:numPr>
        <w:pStyle w:val="Compact"/>
      </w:pPr>
      <w:r>
        <w:t xml:space="preserve">Gestionar los datos compartidos de forma eficiente​</w:t>
      </w:r>
    </w:p>
    <w:p>
      <w:pPr>
        <w:numPr>
          <w:ilvl w:val="0"/>
          <w:numId w:val="1034"/>
        </w:numPr>
        <w:pStyle w:val="Compact"/>
      </w:pPr>
      <w:r>
        <w:t xml:space="preserve">Proporcionar una fuente autorizada de datos maestros y de referencia conciliados y evaluados con calidad​</w:t>
      </w:r>
    </w:p>
    <w:p>
      <w:pPr>
        <w:numPr>
          <w:ilvl w:val="0"/>
          <w:numId w:val="1034"/>
        </w:numPr>
        <w:pStyle w:val="Compact"/>
      </w:pPr>
      <w:r>
        <w:t xml:space="preserve">Cumplir con los requisitos de datos en el FNA​</w:t>
      </w:r>
    </w:p>
    <w:bookmarkEnd w:id="99"/>
    <w:bookmarkStart w:id="100" w:name="actores-4"/>
    <w:p>
      <w:pPr>
        <w:pStyle w:val="Ttulo4"/>
      </w:pPr>
      <w:r>
        <w:t xml:space="preserve">Actores</w:t>
      </w:r>
    </w:p>
    <w:p>
      <w:pPr>
        <w:numPr>
          <w:ilvl w:val="0"/>
          <w:numId w:val="1035"/>
        </w:numPr>
        <w:pStyle w:val="Compact"/>
      </w:pPr>
      <w:r>
        <w:t xml:space="preserve">Unidades de Negocio​</w:t>
      </w:r>
    </w:p>
    <w:p>
      <w:pPr>
        <w:numPr>
          <w:ilvl w:val="0"/>
          <w:numId w:val="1035"/>
        </w:numPr>
        <w:pStyle w:val="Compact"/>
      </w:pPr>
      <w:r>
        <w:t xml:space="preserve">Oficina de arquitectura FNA​</w:t>
      </w:r>
    </w:p>
    <w:p>
      <w:pPr>
        <w:numPr>
          <w:ilvl w:val="0"/>
          <w:numId w:val="1035"/>
        </w:numPr>
        <w:pStyle w:val="Compact"/>
      </w:pPr>
      <w:r>
        <w:t xml:space="preserve">Consultores de Apoyo​</w:t>
      </w:r>
    </w:p>
    <w:bookmarkEnd w:id="100"/>
    <w:bookmarkStart w:id="101" w:name="impacto-beneficio-4"/>
    <w:p>
      <w:pPr>
        <w:pStyle w:val="Ttulo4"/>
      </w:pPr>
      <w:r>
        <w:t xml:space="preserve">Impacto / Beneficio</w:t>
      </w:r>
    </w:p>
    <w:p>
      <w:pPr>
        <w:numPr>
          <w:ilvl w:val="0"/>
          <w:numId w:val="1036"/>
        </w:numPr>
        <w:pStyle w:val="Compact"/>
      </w:pPr>
      <w:r>
        <w:t xml:space="preserve">Reducir los riesgos asociados con la redundancia de datos, asegurando alta calidad, y reduciendo costos de integración de datos​</w:t>
      </w:r>
    </w:p>
    <w:p>
      <w:pPr>
        <w:numPr>
          <w:ilvl w:val="0"/>
          <w:numId w:val="1036"/>
        </w:numPr>
        <w:pStyle w:val="Compact"/>
      </w:pPr>
      <w:r>
        <w:t xml:space="preserve">Habilitar y compartir activos de información trasversalmente en los dominios de negocio y aplicaciones en la organización​</w:t>
      </w:r>
    </w:p>
    <w:p>
      <w:pPr>
        <w:numPr>
          <w:ilvl w:val="0"/>
          <w:numId w:val="1036"/>
        </w:numPr>
        <w:pStyle w:val="Compact"/>
      </w:pPr>
      <w:r>
        <w:t xml:space="preserve">Desarrollar una versión confiable de la verdad para cada instancia de entidad conceptual como producto, lugar, cuenta, persona u organización ​</w:t>
      </w:r>
    </w:p>
    <w:bookmarkEnd w:id="101"/>
    <w:bookmarkStart w:id="102" w:name="alcance-3"/>
    <w:p>
      <w:pPr>
        <w:pStyle w:val="Ttulo4"/>
      </w:pPr>
      <w:r>
        <w:t xml:space="preserve">Alcance</w:t>
      </w:r>
    </w:p>
    <w:p>
      <w:pPr>
        <w:numPr>
          <w:ilvl w:val="0"/>
          <w:numId w:val="1037"/>
        </w:numPr>
        <w:pStyle w:val="Compact"/>
      </w:pPr>
      <w:r>
        <w:t xml:space="preserve">Identificar múltiples instancias de la misma entidad representada dentro y entre fuentes de datos; construir y mantener identificadores y referencias cruzadas para permitir la integración de la información​</w:t>
      </w:r>
    </w:p>
    <w:p>
      <w:pPr>
        <w:numPr>
          <w:ilvl w:val="0"/>
          <w:numId w:val="1037"/>
        </w:numPr>
        <w:pStyle w:val="Compact"/>
      </w:pPr>
      <w:r>
        <w:t xml:space="preserve">Implementación de una herramienta de Master Data Management (MDM)​</w:t>
      </w:r>
    </w:p>
    <w:p>
      <w:pPr>
        <w:numPr>
          <w:ilvl w:val="0"/>
          <w:numId w:val="1037"/>
        </w:numPr>
        <w:pStyle w:val="Compact"/>
      </w:pPr>
      <w:r>
        <w:t xml:space="preserve">Integración de datos a través de estándares, modelos de datos comunes y patrones de integración​</w:t>
      </w:r>
    </w:p>
    <w:bookmarkEnd w:id="102"/>
    <w:bookmarkStart w:id="103" w:name="tecnología-3"/>
    <w:p>
      <w:pPr>
        <w:pStyle w:val="Ttulo4"/>
      </w:pPr>
      <w:r>
        <w:t xml:space="preserve">Tecnología</w:t>
      </w:r>
    </w:p>
    <w:p>
      <w:pPr>
        <w:numPr>
          <w:ilvl w:val="0"/>
          <w:numId w:val="1038"/>
        </w:numPr>
        <w:pStyle w:val="Compact"/>
      </w:pPr>
      <w:r>
        <w:t xml:space="preserve">Herramienta de Master Data Management MDM</w:t>
      </w:r>
    </w:p>
    <w:p>
      <w:pPr>
        <w:numPr>
          <w:ilvl w:val="0"/>
          <w:numId w:val="1038"/>
        </w:numPr>
        <w:pStyle w:val="Compact"/>
      </w:pPr>
      <w:r>
        <w:t xml:space="preserve">Tablero de control de datos maestros</w:t>
      </w:r>
    </w:p>
    <w:p>
      <w:pPr>
        <w:pStyle w:val="FirstParagraph"/>
      </w:pPr>
    </w:p>
    <w:bookmarkEnd w:id="103"/>
    <w:bookmarkEnd w:id="104"/>
    <w:bookmarkStart w:id="111" w:name="devops"/>
    <w:p>
      <w:pPr>
        <w:pStyle w:val="Ttulo3"/>
      </w:pPr>
      <w:r>
        <w:t xml:space="preserve">Devops</w:t>
      </w:r>
    </w:p>
    <w:bookmarkStart w:id="105" w:name="objetivo-5"/>
    <w:p>
      <w:pPr>
        <w:pStyle w:val="Ttulo4"/>
      </w:pPr>
      <w:r>
        <w:t xml:space="preserve">Objetivo</w:t>
      </w:r>
    </w:p>
    <w:p>
      <w:pPr>
        <w:pStyle w:val="FirstParagraph"/>
      </w:pPr>
      <w:r>
        <w:t xml:space="preserve">La adopción de la cultura y prácticas de Development Operations (DevOps) permite a la organización crear y entregar productos de software de forma más rápida y fiable</w:t>
      </w:r>
    </w:p>
    <w:bookmarkEnd w:id="105"/>
    <w:bookmarkStart w:id="106" w:name="oportunidades-retos-5"/>
    <w:p>
      <w:pPr>
        <w:pStyle w:val="Ttulo4"/>
      </w:pPr>
      <w:r>
        <w:t xml:space="preserve">Oportunidades / Retos</w:t>
      </w:r>
    </w:p>
    <w:p>
      <w:pPr>
        <w:numPr>
          <w:ilvl w:val="0"/>
          <w:numId w:val="1039"/>
        </w:numPr>
        <w:pStyle w:val="Compact"/>
      </w:pPr>
      <w:r>
        <w:t xml:space="preserve">El aprovisionamiento y la administración de la infraestructura: Los diversos ambientes de infraestructura (Ej. desarrollo, calidad, pre-producción y producción) podrían ser administrados a través de infraestructura como código</w:t>
      </w:r>
    </w:p>
    <w:p>
      <w:pPr>
        <w:numPr>
          <w:ilvl w:val="0"/>
          <w:numId w:val="1039"/>
        </w:numPr>
        <w:pStyle w:val="Compact"/>
      </w:pPr>
      <w:r>
        <w:t xml:space="preserve">Implementación del código de la aplicación: El ciclo de vida de los componentes incluyendo la promoción en los distintos ambientes se gestiona a través de</w:t>
      </w:r>
      <w:r>
        <w:t xml:space="preserve"> </w:t>
      </w:r>
      <w:r>
        <w:t xml:space="preserve">“</w:t>
      </w:r>
      <w:r>
        <w:t xml:space="preserve">pipelines</w:t>
      </w:r>
      <w:r>
        <w:t xml:space="preserve">”</w:t>
      </w:r>
      <w:r>
        <w:t xml:space="preserve">(o canalizaciones)</w:t>
      </w:r>
    </w:p>
    <w:bookmarkEnd w:id="106"/>
    <w:bookmarkStart w:id="107" w:name="actores-5"/>
    <w:p>
      <w:pPr>
        <w:pStyle w:val="Ttulo4"/>
      </w:pPr>
      <w:r>
        <w:t xml:space="preserve">Actores</w:t>
      </w:r>
    </w:p>
    <w:p>
      <w:pPr>
        <w:numPr>
          <w:ilvl w:val="0"/>
          <w:numId w:val="1040"/>
        </w:numPr>
        <w:pStyle w:val="Compact"/>
      </w:pPr>
      <w:r>
        <w:t xml:space="preserve">Encargados de infraestructura y operaciones</w:t>
      </w:r>
    </w:p>
    <w:p>
      <w:pPr>
        <w:numPr>
          <w:ilvl w:val="0"/>
          <w:numId w:val="1040"/>
        </w:numPr>
        <w:pStyle w:val="Compact"/>
      </w:pPr>
      <w:r>
        <w:t xml:space="preserve">Oficina de arquitectura</w:t>
      </w:r>
    </w:p>
    <w:p>
      <w:pPr>
        <w:numPr>
          <w:ilvl w:val="0"/>
          <w:numId w:val="1040"/>
        </w:numPr>
        <w:pStyle w:val="Compact"/>
      </w:pPr>
      <w:r>
        <w:t xml:space="preserve">Consultores / fabricantes de apoyo</w:t>
      </w:r>
    </w:p>
    <w:bookmarkEnd w:id="107"/>
    <w:bookmarkStart w:id="108" w:name="impacto-beneficio-5"/>
    <w:p>
      <w:pPr>
        <w:pStyle w:val="Ttulo4"/>
      </w:pPr>
      <w:r>
        <w:t xml:space="preserve">Impacto / Beneficio</w:t>
      </w:r>
    </w:p>
    <w:p>
      <w:pPr>
        <w:numPr>
          <w:ilvl w:val="0"/>
          <w:numId w:val="1041"/>
        </w:numPr>
        <w:pStyle w:val="Compact"/>
      </w:pPr>
      <w:r>
        <w:t xml:space="preserve">Software de mayor calidad</w:t>
      </w:r>
    </w:p>
    <w:p>
      <w:pPr>
        <w:numPr>
          <w:ilvl w:val="0"/>
          <w:numId w:val="1041"/>
        </w:numPr>
        <w:pStyle w:val="Compact"/>
      </w:pPr>
      <w:r>
        <w:t xml:space="preserve">Escalabilidad de las Aplicaciones​</w:t>
      </w:r>
    </w:p>
    <w:p>
      <w:pPr>
        <w:numPr>
          <w:ilvl w:val="0"/>
          <w:numId w:val="1041"/>
        </w:numPr>
        <w:pStyle w:val="Compact"/>
      </w:pPr>
      <w:r>
        <w:t xml:space="preserve">Velocidad en el Proceso de Desarrollo de Software ​</w:t>
      </w:r>
    </w:p>
    <w:bookmarkEnd w:id="108"/>
    <w:bookmarkStart w:id="109" w:name="alcance-4"/>
    <w:p>
      <w:pPr>
        <w:pStyle w:val="Ttulo4"/>
      </w:pPr>
      <w:r>
        <w:t xml:space="preserve">Alcance</w:t>
      </w:r>
    </w:p>
    <w:p>
      <w:pPr>
        <w:numPr>
          <w:ilvl w:val="0"/>
          <w:numId w:val="1042"/>
        </w:numPr>
        <w:pStyle w:val="Compact"/>
      </w:pPr>
      <w:r>
        <w:t xml:space="preserve">Determinar los elementos que son susceptibles de transformar o que pueden hacer uso de Infraestructura cómo código</w:t>
      </w:r>
    </w:p>
    <w:p>
      <w:pPr>
        <w:numPr>
          <w:ilvl w:val="0"/>
          <w:numId w:val="1042"/>
        </w:numPr>
        <w:pStyle w:val="Compact"/>
      </w:pPr>
      <w:r>
        <w:t xml:space="preserve">Implementación de una herramienta de</w:t>
      </w:r>
      <w:r>
        <w:t xml:space="preserve"> </w:t>
      </w:r>
      <w:r>
        <w:t xml:space="preserve">“</w:t>
      </w:r>
      <w:r>
        <w:t xml:space="preserve">Servidor de Automatización</w:t>
      </w:r>
      <w:r>
        <w:t xml:space="preserve">”</w:t>
      </w:r>
    </w:p>
    <w:p>
      <w:pPr>
        <w:numPr>
          <w:ilvl w:val="0"/>
          <w:numId w:val="1042"/>
        </w:numPr>
        <w:pStyle w:val="Compact"/>
      </w:pPr>
      <w:r>
        <w:t xml:space="preserve">Iniciar con prácticas de</w:t>
      </w:r>
      <w:r>
        <w:t xml:space="preserve"> </w:t>
      </w:r>
      <w:r>
        <w:t xml:space="preserve">‘</w:t>
      </w:r>
      <w:r>
        <w:t xml:space="preserve">Integración Continua</w:t>
      </w:r>
      <w:r>
        <w:t xml:space="preserve">’</w:t>
      </w:r>
      <w:r>
        <w:t xml:space="preserve"> </w:t>
      </w:r>
      <w:r>
        <w:t xml:space="preserve">y gradualmente apuntar a contar con</w:t>
      </w:r>
      <w:r>
        <w:t xml:space="preserve"> </w:t>
      </w:r>
      <w:r>
        <w:t xml:space="preserve">‘</w:t>
      </w:r>
      <w:r>
        <w:t xml:space="preserve">Despliegue Continuo</w:t>
      </w:r>
      <w:r>
        <w:t xml:space="preserve">’</w:t>
      </w:r>
    </w:p>
    <w:bookmarkEnd w:id="109"/>
    <w:bookmarkStart w:id="110" w:name="tecnología-4"/>
    <w:p>
      <w:pPr>
        <w:pStyle w:val="Ttulo4"/>
      </w:pPr>
      <w:r>
        <w:t xml:space="preserve">Tecnología</w:t>
      </w:r>
    </w:p>
    <w:p>
      <w:pPr>
        <w:numPr>
          <w:ilvl w:val="0"/>
          <w:numId w:val="1043"/>
        </w:numPr>
        <w:pStyle w:val="Compact"/>
      </w:pPr>
      <w:r>
        <w:t xml:space="preserve">Servidor de Automatización</w:t>
      </w:r>
    </w:p>
    <w:p>
      <w:pPr>
        <w:numPr>
          <w:ilvl w:val="0"/>
          <w:numId w:val="1043"/>
        </w:numPr>
        <w:pStyle w:val="Compact"/>
      </w:pPr>
      <w:r>
        <w:t xml:space="preserve">Repositorio de Código fuente</w:t>
      </w:r>
    </w:p>
    <w:p>
      <w:pPr>
        <w:numPr>
          <w:ilvl w:val="0"/>
          <w:numId w:val="1043"/>
        </w:numPr>
        <w:pStyle w:val="Compact"/>
      </w:pPr>
      <w:r>
        <w:t xml:space="preserve">Kubernetes</w:t>
      </w:r>
    </w:p>
    <w:p>
      <w:pPr>
        <w:pStyle w:val="FirstParagraph"/>
      </w:pPr>
    </w:p>
    <w:bookmarkEnd w:id="110"/>
    <w:bookmarkEnd w:id="111"/>
    <w:bookmarkStart w:id="118" w:name="X5ba0ba8f3c80d971aa12cdd868cb4478fddaeda"/>
    <w:p>
      <w:pPr>
        <w:pStyle w:val="Ttulo3"/>
      </w:pPr>
      <w:r>
        <w:t xml:space="preserve">Arquitectura de aplicación escalable en la​ Nube</w:t>
      </w:r>
    </w:p>
    <w:bookmarkStart w:id="112" w:name="objetivo-6"/>
    <w:p>
      <w:pPr>
        <w:pStyle w:val="Ttulo4"/>
      </w:pPr>
      <w:r>
        <w:t xml:space="preserve">Objetivo</w:t>
      </w:r>
    </w:p>
    <w:p>
      <w:pPr>
        <w:pStyle w:val="FirstParagraph"/>
      </w:pPr>
      <w:r>
        <w:t xml:space="preserve">Alcanzar mejores niveles de eficiencia operativa, mayor escalabilidad y rendimiento mejorado​</w:t>
      </w:r>
    </w:p>
    <w:bookmarkEnd w:id="112"/>
    <w:bookmarkStart w:id="113" w:name="oportunidades-retos-6"/>
    <w:p>
      <w:pPr>
        <w:pStyle w:val="Ttulo4"/>
      </w:pPr>
      <w:r>
        <w:t xml:space="preserve">Oportunidades / Retos</w:t>
      </w:r>
    </w:p>
    <w:p>
      <w:pPr>
        <w:numPr>
          <w:ilvl w:val="0"/>
          <w:numId w:val="1044"/>
        </w:numPr>
        <w:pStyle w:val="Compact"/>
      </w:pPr>
      <w:r>
        <w:t xml:space="preserve">Adopción de un enfoque de microservicios ​</w:t>
      </w:r>
    </w:p>
    <w:p>
      <w:pPr>
        <w:numPr>
          <w:ilvl w:val="0"/>
          <w:numId w:val="1044"/>
        </w:numPr>
        <w:pStyle w:val="Compact"/>
      </w:pPr>
      <w:r>
        <w:t xml:space="preserve">Orquestación de contenedores</w:t>
      </w:r>
    </w:p>
    <w:p>
      <w:pPr>
        <w:numPr>
          <w:ilvl w:val="0"/>
          <w:numId w:val="1044"/>
        </w:numPr>
        <w:pStyle w:val="Compact"/>
      </w:pPr>
      <w:r>
        <w:t xml:space="preserve">Uso de servicios administrados (PaaS)</w:t>
      </w:r>
    </w:p>
    <w:bookmarkEnd w:id="113"/>
    <w:bookmarkStart w:id="114" w:name="actores-6"/>
    <w:p>
      <w:pPr>
        <w:pStyle w:val="Ttulo4"/>
      </w:pPr>
      <w:r>
        <w:t xml:space="preserve">Actores</w:t>
      </w:r>
    </w:p>
    <w:p>
      <w:pPr>
        <w:numPr>
          <w:ilvl w:val="0"/>
          <w:numId w:val="1045"/>
        </w:numPr>
        <w:pStyle w:val="Compact"/>
      </w:pPr>
      <w:r>
        <w:t xml:space="preserve">Encargados de infraestructura y operaciones</w:t>
      </w:r>
    </w:p>
    <w:p>
      <w:pPr>
        <w:numPr>
          <w:ilvl w:val="0"/>
          <w:numId w:val="1045"/>
        </w:numPr>
        <w:pStyle w:val="Compact"/>
      </w:pPr>
      <w:r>
        <w:t xml:space="preserve">Oficina de arquitectura</w:t>
      </w:r>
    </w:p>
    <w:p>
      <w:pPr>
        <w:numPr>
          <w:ilvl w:val="0"/>
          <w:numId w:val="1045"/>
        </w:numPr>
        <w:pStyle w:val="Compact"/>
      </w:pPr>
      <w:r>
        <w:t xml:space="preserve">Consultores / fabricantes de apoyo</w:t>
      </w:r>
    </w:p>
    <w:bookmarkEnd w:id="114"/>
    <w:bookmarkStart w:id="115" w:name="impacto-beneficio-6"/>
    <w:p>
      <w:pPr>
        <w:pStyle w:val="Ttulo4"/>
      </w:pPr>
      <w:r>
        <w:t xml:space="preserve">Impacto / Beneficio</w:t>
      </w:r>
    </w:p>
    <w:p>
      <w:pPr>
        <w:numPr>
          <w:ilvl w:val="0"/>
          <w:numId w:val="1046"/>
        </w:numPr>
        <w:pStyle w:val="Compact"/>
      </w:pPr>
      <w:r>
        <w:t xml:space="preserve">Permitir capacidad de cómputo particular según sea requerido para soportar la carga. Este enfoque permite aprovechar de mejor forma la elasticidad que ofrece la nube.</w:t>
      </w:r>
    </w:p>
    <w:p>
      <w:pPr>
        <w:numPr>
          <w:ilvl w:val="0"/>
          <w:numId w:val="1046"/>
        </w:numPr>
        <w:pStyle w:val="Compact"/>
      </w:pPr>
      <w:r>
        <w:t xml:space="preserve">Automatizar tareas como parches, aprovisionamiento de nodos y actualizaciones. Gestión dinámica con base a la demanda.</w:t>
      </w:r>
    </w:p>
    <w:p>
      <w:pPr>
        <w:numPr>
          <w:ilvl w:val="0"/>
          <w:numId w:val="1046"/>
        </w:numPr>
        <w:pStyle w:val="Compact"/>
      </w:pPr>
      <w:r>
        <w:t xml:space="preserve">Evitar tareas administrativas, como el aprovisionamiento de hardware, parches de software, configuración, ajustes, recuperación de fallos y respaldos de seguridad​</w:t>
      </w:r>
    </w:p>
    <w:bookmarkEnd w:id="115"/>
    <w:bookmarkStart w:id="116" w:name="alcance-5"/>
    <w:p>
      <w:pPr>
        <w:pStyle w:val="Ttulo4"/>
      </w:pPr>
      <w:r>
        <w:t xml:space="preserve">Alcance</w:t>
      </w:r>
    </w:p>
    <w:p>
      <w:pPr>
        <w:numPr>
          <w:ilvl w:val="0"/>
          <w:numId w:val="1047"/>
        </w:numPr>
        <w:pStyle w:val="Compact"/>
      </w:pPr>
      <w:r>
        <w:t xml:space="preserve">Determinar los elementos que son susceptibles de transformar o que pueden hacer uso de microservicios</w:t>
      </w:r>
    </w:p>
    <w:p>
      <w:pPr>
        <w:numPr>
          <w:ilvl w:val="0"/>
          <w:numId w:val="1047"/>
        </w:numPr>
        <w:pStyle w:val="Compact"/>
      </w:pPr>
      <w:r>
        <w:t xml:space="preserve">Identificar los servicios o componentes que pueden implementarse como</w:t>
      </w:r>
      <w:r>
        <w:t xml:space="preserve"> </w:t>
      </w:r>
      <w:r>
        <w:t xml:space="preserve">‘</w:t>
      </w:r>
      <w:r>
        <w:t xml:space="preserve">servicios administrados</w:t>
      </w:r>
      <w:r>
        <w:t xml:space="preserve">’</w:t>
      </w:r>
    </w:p>
    <w:p>
      <w:pPr>
        <w:numPr>
          <w:ilvl w:val="0"/>
          <w:numId w:val="1047"/>
        </w:numPr>
        <w:pStyle w:val="Compact"/>
      </w:pPr>
      <w:r>
        <w:t xml:space="preserve">Integrar esta arquitectura dentro del enfoque DevOps</w:t>
      </w:r>
    </w:p>
    <w:bookmarkEnd w:id="116"/>
    <w:bookmarkStart w:id="117" w:name="tecnología-5"/>
    <w:p>
      <w:pPr>
        <w:pStyle w:val="Ttulo4"/>
      </w:pPr>
      <w:r>
        <w:t xml:space="preserve">Tecnología</w:t>
      </w:r>
    </w:p>
    <w:p>
      <w:pPr>
        <w:numPr>
          <w:ilvl w:val="0"/>
          <w:numId w:val="1048"/>
        </w:numPr>
        <w:pStyle w:val="Compact"/>
      </w:pPr>
      <w:r>
        <w:t xml:space="preserve">Servicios Administrados</w:t>
      </w:r>
    </w:p>
    <w:p>
      <w:pPr>
        <w:numPr>
          <w:ilvl w:val="0"/>
          <w:numId w:val="1048"/>
        </w:numPr>
        <w:pStyle w:val="Compact"/>
      </w:pPr>
      <w:r>
        <w:t xml:space="preserve">Integración de sistemas</w:t>
      </w:r>
    </w:p>
    <w:p>
      <w:pPr>
        <w:numPr>
          <w:ilvl w:val="0"/>
          <w:numId w:val="1048"/>
        </w:numPr>
        <w:pStyle w:val="Compact"/>
      </w:pPr>
      <w:r>
        <w:t xml:space="preserve">Kubernetes</w:t>
      </w:r>
    </w:p>
    <w:p>
      <w:pPr>
        <w:pStyle w:val="FirstParagraph"/>
      </w:pPr>
    </w:p>
    <w:bookmarkEnd w:id="117"/>
    <w:bookmarkEnd w:id="118"/>
    <w:bookmarkStart w:id="125" w:name="infraestructura-de-datos-de-autoservicio"/>
    <w:p>
      <w:pPr>
        <w:pStyle w:val="Ttulo3"/>
      </w:pPr>
      <w:r>
        <w:t xml:space="preserve">Infraestructura de datos de autoservicio</w:t>
      </w:r>
    </w:p>
    <w:bookmarkStart w:id="119" w:name="objetivo-7"/>
    <w:p>
      <w:pPr>
        <w:pStyle w:val="Ttulo4"/>
      </w:pPr>
      <w:r>
        <w:t xml:space="preserve">Objetivo</w:t>
      </w:r>
    </w:p>
    <w:p>
      <w:pPr>
        <w:pStyle w:val="FirstParagraph"/>
      </w:pPr>
      <w:r>
        <w:t xml:space="preserve">Soportar a nivel técnico la iniciativa de</w:t>
      </w:r>
      <w:r>
        <w:t xml:space="preserve"> </w:t>
      </w:r>
      <w:r>
        <w:t xml:space="preserve">‘</w:t>
      </w:r>
      <w:r>
        <w:t xml:space="preserve">Data Mesh</w:t>
      </w:r>
      <w:r>
        <w:t xml:space="preserve">’</w:t>
      </w:r>
      <w:r>
        <w:t xml:space="preserve">​</w:t>
      </w:r>
    </w:p>
    <w:bookmarkEnd w:id="119"/>
    <w:bookmarkStart w:id="120" w:name="oportunidades-retos-7"/>
    <w:p>
      <w:pPr>
        <w:pStyle w:val="Ttulo4"/>
      </w:pPr>
      <w:r>
        <w:t xml:space="preserve">Oportunidades / Retos</w:t>
      </w:r>
    </w:p>
    <w:p>
      <w:pPr>
        <w:numPr>
          <w:ilvl w:val="0"/>
          <w:numId w:val="1049"/>
        </w:numPr>
        <w:pStyle w:val="Compact"/>
      </w:pPr>
      <w:r>
        <w:t xml:space="preserve">Gestión de la seguridad​</w:t>
      </w:r>
    </w:p>
    <w:p>
      <w:pPr>
        <w:numPr>
          <w:ilvl w:val="0"/>
          <w:numId w:val="1049"/>
        </w:numPr>
        <w:pStyle w:val="Compact"/>
      </w:pPr>
      <w:r>
        <w:t xml:space="preserve">Integración con sistemas existentes</w:t>
      </w:r>
    </w:p>
    <w:p>
      <w:pPr>
        <w:numPr>
          <w:ilvl w:val="0"/>
          <w:numId w:val="1049"/>
        </w:numPr>
        <w:pStyle w:val="Compact"/>
      </w:pPr>
      <w:r>
        <w:t xml:space="preserve">Plataformas de datos en la nube / Escalabilidad​</w:t>
      </w:r>
    </w:p>
    <w:bookmarkEnd w:id="120"/>
    <w:bookmarkStart w:id="121" w:name="actores-7"/>
    <w:p>
      <w:pPr>
        <w:pStyle w:val="Ttulo4"/>
      </w:pPr>
      <w:r>
        <w:t xml:space="preserve">Actores</w:t>
      </w:r>
    </w:p>
    <w:p>
      <w:pPr>
        <w:numPr>
          <w:ilvl w:val="0"/>
          <w:numId w:val="1050"/>
        </w:numPr>
        <w:pStyle w:val="Compact"/>
      </w:pPr>
      <w:r>
        <w:t xml:space="preserve">Encargados de infraestructura y operaciones</w:t>
      </w:r>
    </w:p>
    <w:p>
      <w:pPr>
        <w:numPr>
          <w:ilvl w:val="0"/>
          <w:numId w:val="1050"/>
        </w:numPr>
        <w:pStyle w:val="Compact"/>
      </w:pPr>
      <w:r>
        <w:t xml:space="preserve">Oficina de arquitectura / Arquitecto de datos​</w:t>
      </w:r>
    </w:p>
    <w:p>
      <w:pPr>
        <w:numPr>
          <w:ilvl w:val="0"/>
          <w:numId w:val="1050"/>
        </w:numPr>
        <w:pStyle w:val="Compact"/>
      </w:pPr>
      <w:r>
        <w:t xml:space="preserve">Consultores / fabricantes de apoyo</w:t>
      </w:r>
    </w:p>
    <w:bookmarkEnd w:id="121"/>
    <w:bookmarkStart w:id="122" w:name="impacto-beneficio-7"/>
    <w:p>
      <w:pPr>
        <w:pStyle w:val="Ttulo4"/>
      </w:pPr>
      <w:r>
        <w:t xml:space="preserve">Impacto / Beneficio</w:t>
      </w:r>
    </w:p>
    <w:p>
      <w:pPr>
        <w:numPr>
          <w:ilvl w:val="0"/>
          <w:numId w:val="1051"/>
        </w:numPr>
        <w:pStyle w:val="Compact"/>
      </w:pPr>
      <w:r>
        <w:t xml:space="preserve">El área de IT solo está involucrada en aspectos técnicos y soportar la evolución con base en el mapa de ruta de</w:t>
      </w:r>
      <w:r>
        <w:t xml:space="preserve"> </w:t>
      </w:r>
      <w:r>
        <w:t xml:space="preserve">“</w:t>
      </w:r>
      <w:r>
        <w:t xml:space="preserve">Data mesh</w:t>
      </w:r>
      <w:r>
        <w:t xml:space="preserve">”</w:t>
      </w:r>
      <w:r>
        <w:t xml:space="preserve"> </w:t>
      </w:r>
      <w:r>
        <w:t xml:space="preserve">y cada equipo de dominio.</w:t>
      </w:r>
    </w:p>
    <w:p>
      <w:pPr>
        <w:numPr>
          <w:ilvl w:val="0"/>
          <w:numId w:val="1051"/>
        </w:numPr>
        <w:pStyle w:val="Compact"/>
      </w:pPr>
      <w:r>
        <w:t xml:space="preserve">Cambio cultural para operar y monitorear este tipo de tecnología. </w:t>
      </w:r>
    </w:p>
    <w:p>
      <w:pPr>
        <w:numPr>
          <w:ilvl w:val="0"/>
          <w:numId w:val="1051"/>
        </w:numPr>
        <w:pStyle w:val="Compact"/>
      </w:pPr>
      <w:r>
        <w:t xml:space="preserve">El autoservicio conlleva la capacidad de proporcionar y asignar los recursos de hardware y aplicaciones de la plataforma de datos a petición de los dominios de datos.</w:t>
      </w:r>
    </w:p>
    <w:bookmarkEnd w:id="122"/>
    <w:bookmarkStart w:id="123" w:name="alcance-6"/>
    <w:p>
      <w:pPr>
        <w:pStyle w:val="Ttulo4"/>
      </w:pPr>
      <w:r>
        <w:t xml:space="preserve">Alcance</w:t>
      </w:r>
    </w:p>
    <w:p>
      <w:pPr>
        <w:numPr>
          <w:ilvl w:val="0"/>
          <w:numId w:val="1052"/>
        </w:numPr>
        <w:pStyle w:val="Compact"/>
      </w:pPr>
      <w:r>
        <w:t xml:space="preserve">Selección de herramientas y tecnologías con base en las iniciativas y proveedores con los que cuente la organización</w:t>
      </w:r>
    </w:p>
    <w:p>
      <w:pPr>
        <w:numPr>
          <w:ilvl w:val="0"/>
          <w:numId w:val="1052"/>
        </w:numPr>
        <w:pStyle w:val="Compact"/>
      </w:pPr>
      <w:r>
        <w:t xml:space="preserve">Establecer políticas y procedimientos adecuados para garantizar que los datos estén protegidos y sean de alta calidad​</w:t>
      </w:r>
    </w:p>
    <w:p>
      <w:pPr>
        <w:numPr>
          <w:ilvl w:val="0"/>
          <w:numId w:val="1052"/>
        </w:numPr>
        <w:pStyle w:val="Compact"/>
      </w:pPr>
      <w:r>
        <w:t xml:space="preserve">Monitorear adecuadamente el gasto (Modelo de operación FinOps)</w:t>
      </w:r>
    </w:p>
    <w:bookmarkEnd w:id="123"/>
    <w:bookmarkStart w:id="124" w:name="tecnología-6"/>
    <w:p>
      <w:pPr>
        <w:pStyle w:val="Ttulo4"/>
      </w:pPr>
      <w:r>
        <w:t xml:space="preserve">Tecnología</w:t>
      </w:r>
    </w:p>
    <w:p>
      <w:pPr>
        <w:numPr>
          <w:ilvl w:val="0"/>
          <w:numId w:val="1053"/>
        </w:numPr>
        <w:pStyle w:val="Compact"/>
      </w:pPr>
      <w:r>
        <w:t xml:space="preserve">Servicios Administrados</w:t>
      </w:r>
    </w:p>
    <w:p>
      <w:pPr>
        <w:numPr>
          <w:ilvl w:val="0"/>
          <w:numId w:val="1053"/>
        </w:numPr>
        <w:pStyle w:val="Compact"/>
      </w:pPr>
      <w:r>
        <w:t xml:space="preserve">Integración de sistemas</w:t>
      </w:r>
    </w:p>
    <w:p>
      <w:pPr>
        <w:numPr>
          <w:ilvl w:val="0"/>
          <w:numId w:val="1053"/>
        </w:numPr>
        <w:pStyle w:val="Compact"/>
      </w:pPr>
      <w:r>
        <w:t xml:space="preserve">Microservicios</w:t>
      </w:r>
    </w:p>
    <w:p>
      <w:pPr>
        <w:pStyle w:val="FirstParagraph"/>
      </w:pPr>
    </w:p>
    <w:bookmarkEnd w:id="124"/>
    <w:bookmarkEnd w:id="125"/>
    <w:bookmarkStart w:id="132" w:name="X9629b74e4a54b1bf8534ec8b990febb57c5cdc6"/>
    <w:p>
      <w:pPr>
        <w:pStyle w:val="Ttulo3"/>
      </w:pPr>
      <w:r>
        <w:t xml:space="preserve">BR010. Estandarización de Integración ESB FNA</w:t>
      </w:r>
    </w:p>
    <w:bookmarkStart w:id="126" w:name="objetivo-8"/>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126"/>
    <w:bookmarkStart w:id="127" w:name="oportunidades-retos-8"/>
    <w:p>
      <w:pPr>
        <w:pStyle w:val="Ttulo4"/>
      </w:pPr>
      <w:r>
        <w:t xml:space="preserve">Oportunidades / Retos</w:t>
      </w:r>
    </w:p>
    <w:p>
      <w:pPr>
        <w:numPr>
          <w:ilvl w:val="0"/>
          <w:numId w:val="1054"/>
        </w:numPr>
        <w:pStyle w:val="Compact"/>
      </w:pPr>
      <w:r>
        <w:t xml:space="preserve">Incluir formas de integración más flexibles y cercanas a lo funcional vía API, granulares, reutilizables y mediadas por niveles de exposición (privadas, protegidas y públicas)</w:t>
      </w:r>
    </w:p>
    <w:p>
      <w:pPr>
        <w:numPr>
          <w:ilvl w:val="0"/>
          <w:numId w:val="1054"/>
        </w:numPr>
        <w:pStyle w:val="Compact"/>
      </w:pPr>
      <w:r>
        <w:t xml:space="preserve">Migrar la integración entre aplicaciones hacia la exposición de funcionalidades independientes de la aplicación (API)</w:t>
      </w:r>
    </w:p>
    <w:p>
      <w:pPr>
        <w:numPr>
          <w:ilvl w:val="0"/>
          <w:numId w:val="1054"/>
        </w:numPr>
        <w:pStyle w:val="Compact"/>
      </w:pPr>
      <w:r>
        <w:t xml:space="preserve">Estandarizar el modelo de integración e intercambio de datos</w:t>
      </w:r>
    </w:p>
    <w:bookmarkEnd w:id="127"/>
    <w:bookmarkStart w:id="128" w:name="alcance-7"/>
    <w:p>
      <w:pPr>
        <w:pStyle w:val="Ttulo4"/>
      </w:pPr>
      <w:r>
        <w:t xml:space="preserve">Alcance</w:t>
      </w:r>
    </w:p>
    <w:p>
      <w:pPr>
        <w:numPr>
          <w:ilvl w:val="0"/>
          <w:numId w:val="1055"/>
        </w:numPr>
        <w:pStyle w:val="Compact"/>
      </w:pPr>
      <w:r>
        <w:t xml:space="preserve">Estructurar e implementar funcionalidades del producto en forma de operaciones y datos expuestos (API)</w:t>
      </w:r>
    </w:p>
    <w:p>
      <w:pPr>
        <w:numPr>
          <w:ilvl w:val="0"/>
          <w:numId w:val="1055"/>
        </w:numPr>
        <w:pStyle w:val="Compact"/>
      </w:pPr>
      <w:r>
        <w:t xml:space="preserve">Establecer los nuevos consumidores de las API del producto</w:t>
      </w:r>
    </w:p>
    <w:p>
      <w:pPr>
        <w:numPr>
          <w:ilvl w:val="0"/>
          <w:numId w:val="1055"/>
        </w:numPr>
        <w:pStyle w:val="Compact"/>
      </w:pPr>
      <w:r>
        <w:t xml:space="preserve">Actualizar y modificar a los consumidores actuales (redirección)</w:t>
      </w:r>
    </w:p>
    <w:bookmarkEnd w:id="128"/>
    <w:bookmarkStart w:id="129" w:name="impacto-beneficio-8"/>
    <w:p>
      <w:pPr>
        <w:pStyle w:val="Ttulo4"/>
      </w:pPr>
      <w:r>
        <w:t xml:space="preserve">Impacto / Beneficio</w:t>
      </w:r>
    </w:p>
    <w:p>
      <w:pPr>
        <w:numPr>
          <w:ilvl w:val="0"/>
          <w:numId w:val="1056"/>
        </w:numPr>
        <w:pStyle w:val="Compact"/>
      </w:pPr>
      <w:r>
        <w:t xml:space="preserve">Proteger de impacto por cambios en C. Constructor a los consumidores y aplicaciones clientes del producto</w:t>
      </w:r>
    </w:p>
    <w:p>
      <w:pPr>
        <w:numPr>
          <w:ilvl w:val="0"/>
          <w:numId w:val="1056"/>
        </w:numPr>
        <w:pStyle w:val="Compact"/>
      </w:pPr>
      <w:r>
        <w:t xml:space="preserve">Flexibilidad de modificación de las funcionalidades principales de C. Constructor</w:t>
      </w:r>
    </w:p>
    <w:p>
      <w:pPr>
        <w:numPr>
          <w:ilvl w:val="0"/>
          <w:numId w:val="1056"/>
        </w:numPr>
        <w:pStyle w:val="Compact"/>
      </w:pPr>
      <w:r>
        <w:t xml:space="preserve">Aumentar el nivel de capacidades y tecnologías del ESB</w:t>
      </w:r>
    </w:p>
    <w:bookmarkEnd w:id="129"/>
    <w:bookmarkStart w:id="130" w:name="actores-8"/>
    <w:p>
      <w:pPr>
        <w:pStyle w:val="Ttulo4"/>
      </w:pPr>
      <w:r>
        <w:t xml:space="preserve">Actores</w:t>
      </w:r>
    </w:p>
    <w:p>
      <w:pPr>
        <w:numPr>
          <w:ilvl w:val="0"/>
          <w:numId w:val="1057"/>
        </w:numPr>
        <w:pStyle w:val="Compact"/>
      </w:pPr>
      <w:r>
        <w:t xml:space="preserve">Unidades de negocio</w:t>
      </w:r>
    </w:p>
    <w:p>
      <w:pPr>
        <w:numPr>
          <w:ilvl w:val="0"/>
          <w:numId w:val="1057"/>
        </w:numPr>
        <w:pStyle w:val="Compact"/>
      </w:pPr>
      <w:r>
        <w:t xml:space="preserve">Oficina de Arquitectura</w:t>
      </w:r>
    </w:p>
    <w:p>
      <w:pPr>
        <w:numPr>
          <w:ilvl w:val="0"/>
          <w:numId w:val="1057"/>
        </w:numPr>
        <w:pStyle w:val="Compact"/>
      </w:pPr>
      <w:r>
        <w:t xml:space="preserve">Proveedores del FNA (Cobis, IBM, Oracle)</w:t>
      </w:r>
    </w:p>
    <w:p>
      <w:pPr>
        <w:numPr>
          <w:ilvl w:val="0"/>
          <w:numId w:val="1057"/>
        </w:numPr>
        <w:pStyle w:val="Compact"/>
      </w:pPr>
      <w:r>
        <w:t xml:space="preserve">Consultores / fabricantes de apoyo</w:t>
      </w:r>
    </w:p>
    <w:bookmarkEnd w:id="130"/>
    <w:bookmarkStart w:id="131" w:name="tecnologias-1"/>
    <w:p>
      <w:pPr>
        <w:pStyle w:val="Ttulo4"/>
      </w:pPr>
      <w:r>
        <w:t xml:space="preserve">Tecnologias</w:t>
      </w:r>
    </w:p>
    <w:p>
      <w:pPr>
        <w:numPr>
          <w:ilvl w:val="0"/>
          <w:numId w:val="1058"/>
        </w:numPr>
        <w:pStyle w:val="Compact"/>
      </w:pPr>
      <w:r>
        <w:t xml:space="preserve">Portafolio de API</w:t>
      </w:r>
    </w:p>
    <w:p>
      <w:pPr>
        <w:numPr>
          <w:ilvl w:val="0"/>
          <w:numId w:val="1058"/>
        </w:numPr>
        <w:pStyle w:val="Compact"/>
      </w:pPr>
      <w:r>
        <w:t xml:space="preserve">Herramientas de diseño de API</w:t>
      </w:r>
    </w:p>
    <w:bookmarkEnd w:id="131"/>
    <w:bookmarkEnd w:id="132"/>
    <w:bookmarkStart w:id="139" w:name="a1.-gobierno-soa"/>
    <w:p>
      <w:pPr>
        <w:pStyle w:val="Ttulo3"/>
      </w:pPr>
      <w:r>
        <w:t xml:space="preserve">A1. Gobierno SOA</w:t>
      </w:r>
    </w:p>
    <w:bookmarkStart w:id="133" w:name="objetivo-9"/>
    <w:p>
      <w:pPr>
        <w:pStyle w:val="Ttulo4"/>
      </w:pPr>
      <w:r>
        <w:t xml:space="preserve">Objetivo</w:t>
      </w:r>
    </w:p>
    <w:p>
      <w:pPr>
        <w:pStyle w:val="FirstParagraph"/>
      </w:pPr>
      <w:r>
        <w:t xml:space="preserve">Vigilar las relaciones entre las áreas de negocio (la vicepresidencia de operaciones y la vicepresidencia de crédito del FNA) y la implementación y diseño de soluciones SOA. El gobierno SOA del Fondo debe asistir en la aplicación y ejecución de un estándar de implementación, observación y puesta en marcha de soluciones SOA.</w:t>
      </w:r>
    </w:p>
    <w:bookmarkEnd w:id="133"/>
    <w:bookmarkStart w:id="134" w:name="oportunidades-retos-9"/>
    <w:p>
      <w:pPr>
        <w:pStyle w:val="Ttulo4"/>
      </w:pPr>
      <w:r>
        <w:t xml:space="preserve">Oportunidades / Retos</w:t>
      </w:r>
    </w:p>
    <w:p>
      <w:pPr>
        <w:numPr>
          <w:ilvl w:val="0"/>
          <w:numId w:val="1059"/>
        </w:numPr>
        <w:pStyle w:val="Compact"/>
      </w:pPr>
      <w:r>
        <w:t xml:space="preserve">Fortalecer el comité de gobierno SOA del FNA</w:t>
      </w:r>
    </w:p>
    <w:p>
      <w:pPr>
        <w:numPr>
          <w:ilvl w:val="0"/>
          <w:numId w:val="1059"/>
        </w:numPr>
        <w:pStyle w:val="Compact"/>
      </w:pPr>
      <w:r>
        <w:t xml:space="preserve">Generar lineamientos y políticas de gobierno SOA</w:t>
      </w:r>
    </w:p>
    <w:p>
      <w:pPr>
        <w:numPr>
          <w:ilvl w:val="0"/>
          <w:numId w:val="1059"/>
        </w:numPr>
        <w:pStyle w:val="Compact"/>
      </w:pPr>
      <w:r>
        <w:t xml:space="preserve">Promover la institucionalización de la arquitectura de referencia y del proceso de desarrollo de las soluciones SOA</w:t>
      </w:r>
    </w:p>
    <w:bookmarkEnd w:id="134"/>
    <w:bookmarkStart w:id="135" w:name="actores-9"/>
    <w:p>
      <w:pPr>
        <w:pStyle w:val="Ttulo4"/>
      </w:pPr>
      <w:r>
        <w:t xml:space="preserve">Actores</w:t>
      </w:r>
    </w:p>
    <w:p>
      <w:pPr>
        <w:numPr>
          <w:ilvl w:val="0"/>
          <w:numId w:val="1060"/>
        </w:numPr>
        <w:pStyle w:val="Compact"/>
      </w:pPr>
      <w:r>
        <w:t xml:space="preserve">Comité de gobierno del FNA</w:t>
      </w:r>
    </w:p>
    <w:p>
      <w:pPr>
        <w:numPr>
          <w:ilvl w:val="0"/>
          <w:numId w:val="1060"/>
        </w:numPr>
        <w:pStyle w:val="Compact"/>
      </w:pPr>
      <w:r>
        <w:t xml:space="preserve">Oficina de arquitectura FNA</w:t>
      </w:r>
    </w:p>
    <w:p>
      <w:pPr>
        <w:numPr>
          <w:ilvl w:val="0"/>
          <w:numId w:val="1060"/>
        </w:numPr>
        <w:pStyle w:val="Compact"/>
      </w:pPr>
      <w:r>
        <w:t xml:space="preserve">Comité asesor </w:t>
      </w:r>
    </w:p>
    <w:bookmarkEnd w:id="135"/>
    <w:bookmarkStart w:id="136" w:name="impacto-beneficio-9"/>
    <w:p>
      <w:pPr>
        <w:pStyle w:val="Ttulo4"/>
      </w:pPr>
      <w:r>
        <w:t xml:space="preserve">Impacto / Beneficio</w:t>
      </w:r>
    </w:p>
    <w:p>
      <w:pPr>
        <w:numPr>
          <w:ilvl w:val="0"/>
          <w:numId w:val="1061"/>
        </w:numPr>
        <w:pStyle w:val="Compact"/>
      </w:pPr>
      <w:r>
        <w:t xml:space="preserve">Lineamientos claros, libres de ambigüedad que permitan guiar la evolución de la arquitectura SOA 2.0 en la organización</w:t>
      </w:r>
    </w:p>
    <w:p>
      <w:pPr>
        <w:numPr>
          <w:ilvl w:val="0"/>
          <w:numId w:val="1061"/>
        </w:numPr>
        <w:pStyle w:val="Compact"/>
      </w:pPr>
      <w:r>
        <w:t xml:space="preserve">Fuente única de planeación estratégica y control de la operación SOA</w:t>
      </w:r>
    </w:p>
    <w:p>
      <w:pPr>
        <w:numPr>
          <w:ilvl w:val="0"/>
          <w:numId w:val="1061"/>
        </w:numPr>
        <w:pStyle w:val="Compact"/>
      </w:pPr>
      <w:r>
        <w:t xml:space="preserve">Vigilancia del cumplimiento de los niveles de servicio de las soluciones SOA​</w:t>
      </w:r>
    </w:p>
    <w:bookmarkEnd w:id="136"/>
    <w:bookmarkStart w:id="137" w:name="alcance-8"/>
    <w:p>
      <w:pPr>
        <w:pStyle w:val="Ttulo4"/>
      </w:pPr>
      <w:r>
        <w:t xml:space="preserve">Alcance</w:t>
      </w:r>
    </w:p>
    <w:p>
      <w:pPr>
        <w:numPr>
          <w:ilvl w:val="0"/>
          <w:numId w:val="1062"/>
        </w:numPr>
        <w:pStyle w:val="Compact"/>
      </w:pPr>
      <w:r>
        <w:t xml:space="preserve">Diseño de los procesos y responsabilidades del comité de gobierno</w:t>
      </w:r>
    </w:p>
    <w:p>
      <w:pPr>
        <w:numPr>
          <w:ilvl w:val="0"/>
          <w:numId w:val="1062"/>
        </w:numPr>
        <w:pStyle w:val="Compact"/>
      </w:pPr>
      <w:r>
        <w:t xml:space="preserve">Institucionalización del comité dentro del FNA</w:t>
      </w:r>
    </w:p>
    <w:p>
      <w:pPr>
        <w:numPr>
          <w:ilvl w:val="0"/>
          <w:numId w:val="1062"/>
        </w:numPr>
        <w:pStyle w:val="Compact"/>
      </w:pPr>
      <w:r>
        <w:t xml:space="preserve">Definición de roles y responsabilidades y selección e instalación del comité</w:t>
      </w:r>
    </w:p>
    <w:bookmarkEnd w:id="137"/>
    <w:bookmarkStart w:id="138" w:name="tecnología-7"/>
    <w:p>
      <w:pPr>
        <w:pStyle w:val="Ttulo4"/>
      </w:pPr>
      <w:r>
        <w:t xml:space="preserve">Tecnología</w:t>
      </w:r>
    </w:p>
    <w:p>
      <w:pPr>
        <w:numPr>
          <w:ilvl w:val="0"/>
          <w:numId w:val="1063"/>
        </w:numPr>
        <w:pStyle w:val="Compact"/>
      </w:pPr>
      <w:r>
        <w:t xml:space="preserve">Depósito centralizado SOA</w:t>
      </w:r>
    </w:p>
    <w:p>
      <w:pPr>
        <w:numPr>
          <w:ilvl w:val="0"/>
          <w:numId w:val="1063"/>
        </w:numPr>
        <w:pStyle w:val="Compact"/>
      </w:pPr>
      <w:r>
        <w:t xml:space="preserve">Depósito documental</w:t>
      </w:r>
    </w:p>
    <w:p>
      <w:pPr>
        <w:pStyle w:val="FirstParagraph"/>
      </w:pPr>
    </w:p>
    <w:bookmarkEnd w:id="138"/>
    <w:bookmarkEnd w:id="139"/>
    <w:bookmarkStart w:id="145" w:name="oficina-de-arquitectura"/>
    <w:p>
      <w:pPr>
        <w:pStyle w:val="Ttulo3"/>
      </w:pPr>
      <w:r>
        <w:t xml:space="preserve">Oficina de arquitectura</w:t>
      </w:r>
    </w:p>
    <w:bookmarkStart w:id="140" w:name="objetivo-10"/>
    <w:p>
      <w:pPr>
        <w:pStyle w:val="Ttulo4"/>
      </w:pPr>
      <w:r>
        <w:t xml:space="preserve">Objetivo</w:t>
      </w:r>
    </w:p>
    <w:p>
      <w:pPr>
        <w:pStyle w:val="FirstParagraph"/>
      </w:pPr>
      <w:r>
        <w:t xml:space="preserve">Equipo de trabajo, conforme al gobierno SOA, a cargo de los roles de gestión de la tecnología y arquitectura en los ámbitos específicos de diseño de servicios SOA y componentes de software, infraestructura tecnológica y redes, aplicaciones y herramientas de software, y especialista estructuras de datos e información negocio. Rol general: gestión de conocimiento de la arquitectura de referencia.​</w:t>
      </w:r>
    </w:p>
    <w:bookmarkEnd w:id="140"/>
    <w:bookmarkStart w:id="141" w:name="oportunidades-retos-10"/>
    <w:p>
      <w:pPr>
        <w:pStyle w:val="Ttulo4"/>
      </w:pPr>
      <w:r>
        <w:t xml:space="preserve">Oportunidades / Retos</w:t>
      </w:r>
    </w:p>
    <w:p>
      <w:pPr>
        <w:numPr>
          <w:ilvl w:val="0"/>
          <w:numId w:val="1064"/>
        </w:numPr>
        <w:pStyle w:val="Compact"/>
      </w:pPr>
      <w:r>
        <w:t xml:space="preserve">Institucionalizar el rol y los deberes y responsabilidad del grupo de arquitectura</w:t>
      </w:r>
    </w:p>
    <w:p>
      <w:pPr>
        <w:numPr>
          <w:ilvl w:val="0"/>
          <w:numId w:val="1064"/>
        </w:numPr>
        <w:pStyle w:val="Compact"/>
      </w:pPr>
      <w:r>
        <w:t xml:space="preserve">Hacer una gestión cada vez más efectiva del conocimiento en arquitectura del FNA​</w:t>
      </w:r>
    </w:p>
    <w:bookmarkEnd w:id="141"/>
    <w:bookmarkStart w:id="142" w:name="actores-10"/>
    <w:p>
      <w:pPr>
        <w:pStyle w:val="Ttulo4"/>
      </w:pPr>
      <w:r>
        <w:t xml:space="preserve">Actores</w:t>
      </w:r>
    </w:p>
    <w:p>
      <w:pPr>
        <w:numPr>
          <w:ilvl w:val="0"/>
          <w:numId w:val="1065"/>
        </w:numPr>
        <w:pStyle w:val="Compact"/>
      </w:pPr>
      <w:r>
        <w:t xml:space="preserve">Dirección TI</w:t>
      </w:r>
    </w:p>
    <w:p>
      <w:pPr>
        <w:numPr>
          <w:ilvl w:val="0"/>
          <w:numId w:val="1065"/>
        </w:numPr>
        <w:pStyle w:val="Compact"/>
      </w:pPr>
      <w:r>
        <w:t xml:space="preserve">Unidades de negocio​</w:t>
      </w:r>
    </w:p>
    <w:p>
      <w:pPr>
        <w:numPr>
          <w:ilvl w:val="0"/>
          <w:numId w:val="1065"/>
        </w:numPr>
        <w:pStyle w:val="Compact"/>
      </w:pPr>
      <w:r>
        <w:t xml:space="preserve">Consultores de soporte​</w:t>
      </w:r>
    </w:p>
    <w:p>
      <w:pPr>
        <w:pStyle w:val="FirstParagraph"/>
      </w:pPr>
      <w:r>
        <w:t xml:space="preserve">Impacto / Beneficio</w:t>
      </w:r>
      <w:r>
        <w:t xml:space="preserve"> </w:t>
      </w:r>
      <w:r>
        <w:t xml:space="preserve">A. Gestionar el conocimiento en arquitectura del FNA​</w:t>
      </w:r>
      <w:r>
        <w:t xml:space="preserve"> </w:t>
      </w:r>
      <w:r>
        <w:t xml:space="preserve">B. Proveer un enlace directo desde la oficina de arquitectura con los consultores en arquitectura​</w:t>
      </w:r>
      <w:r>
        <w:t xml:space="preserve"> </w:t>
      </w:r>
      <w:r>
        <w:t xml:space="preserve">C. Gobernar la arquitectura de referencia de la organización​</w:t>
      </w:r>
    </w:p>
    <w:bookmarkEnd w:id="142"/>
    <w:bookmarkStart w:id="143" w:name="alcance-9"/>
    <w:p>
      <w:pPr>
        <w:pStyle w:val="Ttulo4"/>
      </w:pPr>
      <w:r>
        <w:t xml:space="preserve">Alcance</w:t>
      </w:r>
    </w:p>
    <w:p>
      <w:pPr>
        <w:numPr>
          <w:ilvl w:val="0"/>
          <w:numId w:val="1066"/>
        </w:numPr>
        <w:pStyle w:val="Compact"/>
      </w:pPr>
      <w:r>
        <w:t xml:space="preserve">Definición de funciones y roles de los miembros de la oficina​</w:t>
      </w:r>
    </w:p>
    <w:p>
      <w:pPr>
        <w:numPr>
          <w:ilvl w:val="0"/>
          <w:numId w:val="1066"/>
        </w:numPr>
        <w:pStyle w:val="Compact"/>
      </w:pPr>
      <w:r>
        <w:t xml:space="preserve">Definir procesos y niveles de servicio de la oficina​</w:t>
      </w:r>
    </w:p>
    <w:p>
      <w:pPr>
        <w:numPr>
          <w:ilvl w:val="0"/>
          <w:numId w:val="1066"/>
        </w:numPr>
        <w:pStyle w:val="Compact"/>
      </w:pPr>
      <w:r>
        <w:t xml:space="preserve">Dar lanzamiento a la oficina​</w:t>
      </w:r>
    </w:p>
    <w:bookmarkEnd w:id="143"/>
    <w:bookmarkStart w:id="144" w:name="tecnología-8"/>
    <w:p>
      <w:pPr>
        <w:pStyle w:val="Ttulo4"/>
      </w:pPr>
      <w:r>
        <w:t xml:space="preserve">Tecnología</w:t>
      </w:r>
    </w:p>
    <w:p>
      <w:pPr>
        <w:numPr>
          <w:ilvl w:val="0"/>
          <w:numId w:val="1067"/>
        </w:numPr>
        <w:pStyle w:val="Compact"/>
      </w:pPr>
      <w:r>
        <w:t xml:space="preserve">Arquitectura de referencia</w:t>
      </w:r>
    </w:p>
    <w:p>
      <w:pPr>
        <w:numPr>
          <w:ilvl w:val="0"/>
          <w:numId w:val="1067"/>
        </w:numPr>
        <w:pStyle w:val="Compact"/>
      </w:pPr>
      <w:r>
        <w:t xml:space="preserve">Depósito de Arquitectura</w:t>
      </w:r>
    </w:p>
    <w:p>
      <w:pPr>
        <w:pStyle w:val="FirstParagraph"/>
      </w:pPr>
    </w:p>
    <w:bookmarkEnd w:id="144"/>
    <w:bookmarkEnd w:id="145"/>
    <w:bookmarkStart w:id="152" w:name="arquitectura-de-referencia-soa-2.0"/>
    <w:p>
      <w:pPr>
        <w:pStyle w:val="Ttulo3"/>
      </w:pPr>
      <w:r>
        <w:t xml:space="preserve">Arquitectura de referencia SOA 2.0</w:t>
      </w:r>
    </w:p>
    <w:bookmarkStart w:id="146" w:name="objetivo-11"/>
    <w:p>
      <w:pPr>
        <w:pStyle w:val="Ttulo4"/>
      </w:pPr>
      <w:r>
        <w:t xml:space="preserve">Objetivo</w:t>
      </w:r>
    </w:p>
    <w:p>
      <w:pPr>
        <w:pStyle w:val="FirstParagraph"/>
      </w:pPr>
      <w:r>
        <w:t xml:space="preserve">Evolucionar el desarrollo de los Servicios hacia microservicios y a la adopción de un estilo de arquitectura orientado a eventos. ​</w:t>
      </w:r>
    </w:p>
    <w:bookmarkEnd w:id="146"/>
    <w:bookmarkStart w:id="147" w:name="oportunidades-retos-11"/>
    <w:p>
      <w:pPr>
        <w:pStyle w:val="Ttulo4"/>
      </w:pPr>
      <w:r>
        <w:t xml:space="preserve">Oportunidades / Retos</w:t>
      </w:r>
    </w:p>
    <w:p>
      <w:pPr>
        <w:numPr>
          <w:ilvl w:val="0"/>
          <w:numId w:val="1068"/>
        </w:numPr>
        <w:pStyle w:val="Compact"/>
      </w:pPr>
      <w:r>
        <w:t xml:space="preserve">Acelerar el desarrollo de las arquitecturas de solución​</w:t>
      </w:r>
    </w:p>
    <w:p>
      <w:pPr>
        <w:numPr>
          <w:ilvl w:val="0"/>
          <w:numId w:val="1068"/>
        </w:numPr>
        <w:pStyle w:val="Compact"/>
      </w:pPr>
      <w:r>
        <w:t xml:space="preserve">Unificar el vocabulario con las áreas de negocio y TI​</w:t>
      </w:r>
    </w:p>
    <w:p>
      <w:pPr>
        <w:numPr>
          <w:ilvl w:val="0"/>
          <w:numId w:val="1068"/>
        </w:numPr>
        <w:pStyle w:val="Compact"/>
      </w:pPr>
      <w:r>
        <w:t xml:space="preserve">Proveer soporte a los lineamientos y políticas de gobierno​</w:t>
      </w:r>
    </w:p>
    <w:bookmarkEnd w:id="147"/>
    <w:bookmarkStart w:id="148" w:name="actores-11"/>
    <w:p>
      <w:pPr>
        <w:pStyle w:val="Ttulo4"/>
      </w:pPr>
      <w:r>
        <w:t xml:space="preserve">Actores</w:t>
      </w:r>
    </w:p>
    <w:p>
      <w:pPr>
        <w:numPr>
          <w:ilvl w:val="0"/>
          <w:numId w:val="1069"/>
        </w:numPr>
        <w:pStyle w:val="Compact"/>
      </w:pPr>
      <w:r>
        <w:t xml:space="preserve">Áreas de negocio críticas​</w:t>
      </w:r>
    </w:p>
    <w:p>
      <w:pPr>
        <w:numPr>
          <w:ilvl w:val="0"/>
          <w:numId w:val="1069"/>
        </w:numPr>
        <w:pStyle w:val="Compact"/>
      </w:pPr>
      <w:r>
        <w:t xml:space="preserve">Oficina de arquitectura FNA​</w:t>
      </w:r>
    </w:p>
    <w:p>
      <w:pPr>
        <w:numPr>
          <w:ilvl w:val="0"/>
          <w:numId w:val="1069"/>
        </w:numPr>
        <w:pStyle w:val="Compact"/>
      </w:pPr>
      <w:r>
        <w:t xml:space="preserve">Consultores y equipo de apoyo​</w:t>
      </w:r>
    </w:p>
    <w:bookmarkEnd w:id="148"/>
    <w:bookmarkStart w:id="149" w:name="impacto-beneficio-10"/>
    <w:p>
      <w:pPr>
        <w:pStyle w:val="Ttulo4"/>
      </w:pPr>
      <w:r>
        <w:t xml:space="preserve">Impacto / Beneficio</w:t>
      </w:r>
    </w:p>
    <w:p>
      <w:pPr>
        <w:numPr>
          <w:ilvl w:val="0"/>
          <w:numId w:val="1070"/>
        </w:numPr>
        <w:pStyle w:val="Compact"/>
      </w:pPr>
      <w:r>
        <w:t xml:space="preserve">Reducción en tiempos y costos asociados a las soluciones SOA​</w:t>
      </w:r>
    </w:p>
    <w:p>
      <w:pPr>
        <w:numPr>
          <w:ilvl w:val="0"/>
          <w:numId w:val="1070"/>
        </w:numPr>
        <w:pStyle w:val="Compact"/>
      </w:pPr>
      <w:r>
        <w:t xml:space="preserve">Mejora en la alineación entre negocio y TI​</w:t>
      </w:r>
    </w:p>
    <w:p>
      <w:pPr>
        <w:numPr>
          <w:ilvl w:val="0"/>
          <w:numId w:val="1070"/>
        </w:numPr>
        <w:pStyle w:val="Compact"/>
      </w:pPr>
      <w:r>
        <w:t xml:space="preserve">Mitigación de rotación del equipo de arquitectura​</w:t>
      </w:r>
    </w:p>
    <w:p>
      <w:pPr>
        <w:numPr>
          <w:ilvl w:val="0"/>
          <w:numId w:val="1070"/>
        </w:numPr>
        <w:pStyle w:val="Compact"/>
      </w:pPr>
      <w:r>
        <w:t xml:space="preserve">Visión global de soluciones de TI vs Requisitos del negocio​</w:t>
      </w:r>
    </w:p>
    <w:bookmarkEnd w:id="149"/>
    <w:bookmarkStart w:id="150" w:name="alcance-10"/>
    <w:p>
      <w:pPr>
        <w:pStyle w:val="Ttulo4"/>
      </w:pPr>
      <w:r>
        <w:t xml:space="preserve">Alcance</w:t>
      </w:r>
    </w:p>
    <w:p>
      <w:pPr>
        <w:numPr>
          <w:ilvl w:val="0"/>
          <w:numId w:val="1071"/>
        </w:numPr>
        <w:pStyle w:val="Compact"/>
      </w:pPr>
      <w:r>
        <w:t xml:space="preserve">Diseño a profundidad de vistas funciona, despliegue, información, integración y tecnología​</w:t>
      </w:r>
    </w:p>
    <w:p>
      <w:pPr>
        <w:numPr>
          <w:ilvl w:val="0"/>
          <w:numId w:val="1071"/>
        </w:numPr>
        <w:pStyle w:val="Compact"/>
      </w:pPr>
      <w:r>
        <w:t xml:space="preserve">Modelado en la herramienta de diseño del FNA​</w:t>
      </w:r>
    </w:p>
    <w:p>
      <w:pPr>
        <w:numPr>
          <w:ilvl w:val="0"/>
          <w:numId w:val="1071"/>
        </w:numPr>
        <w:pStyle w:val="Compact"/>
      </w:pPr>
      <w:r>
        <w:t xml:space="preserve">Utilización del depósito de arquitectura institucional​</w:t>
      </w:r>
    </w:p>
    <w:bookmarkEnd w:id="150"/>
    <w:bookmarkStart w:id="151" w:name="tecnología-9"/>
    <w:p>
      <w:pPr>
        <w:pStyle w:val="Ttulo4"/>
      </w:pPr>
      <w:r>
        <w:t xml:space="preserve">Tecnología</w:t>
      </w:r>
    </w:p>
    <w:p>
      <w:pPr>
        <w:numPr>
          <w:ilvl w:val="0"/>
          <w:numId w:val="1072"/>
        </w:numPr>
        <w:pStyle w:val="Compact"/>
      </w:pPr>
      <w:r>
        <w:t xml:space="preserve">Depósito´de Arquitectura</w:t>
      </w:r>
    </w:p>
    <w:p>
      <w:pPr>
        <w:numPr>
          <w:ilvl w:val="0"/>
          <w:numId w:val="1072"/>
        </w:numPr>
        <w:pStyle w:val="Compact"/>
      </w:pPr>
      <w:r>
        <w:t xml:space="preserve">Herramientas de modelado</w:t>
      </w:r>
    </w:p>
    <w:p>
      <w:pPr>
        <w:pStyle w:val="FirstParagraph"/>
      </w:pPr>
    </w:p>
    <w:bookmarkEnd w:id="151"/>
    <w:bookmarkEnd w:id="152"/>
    <w:bookmarkStart w:id="166" w:name="microservicios"/>
    <w:p>
      <w:pPr>
        <w:pStyle w:val="Ttulo3"/>
      </w:pPr>
      <w:r>
        <w:t xml:space="preserve">Microservicios</w:t>
      </w:r>
    </w:p>
    <w:bookmarkStart w:id="153" w:name="objetivo-12"/>
    <w:p>
      <w:pPr>
        <w:pStyle w:val="Ttulo4"/>
      </w:pPr>
      <w:r>
        <w:t xml:space="preserve">Objetivo</w:t>
      </w:r>
    </w:p>
    <w:p>
      <w:pPr>
        <w:pStyle w:val="FirstParagraph"/>
      </w:pPr>
      <w:r>
        <w:t xml:space="preserve">Promover el uso de microservicios como estilo de arquitectura para ser integrado con la estrategia SOA existente en el FNA​</w:t>
      </w:r>
    </w:p>
    <w:bookmarkEnd w:id="153"/>
    <w:bookmarkStart w:id="154" w:name="oportunidades-retos-12"/>
    <w:p>
      <w:pPr>
        <w:pStyle w:val="Ttulo4"/>
      </w:pPr>
      <w:r>
        <w:t xml:space="preserve">Oportunidades / Retos</w:t>
      </w:r>
    </w:p>
    <w:p>
      <w:pPr>
        <w:numPr>
          <w:ilvl w:val="0"/>
          <w:numId w:val="1073"/>
        </w:numPr>
        <w:pStyle w:val="Compact"/>
      </w:pPr>
      <w:r>
        <w:t xml:space="preserve">Proponer esquemas de arquitectura desacopladas​</w:t>
      </w:r>
    </w:p>
    <w:p>
      <w:pPr>
        <w:numPr>
          <w:ilvl w:val="0"/>
          <w:numId w:val="1073"/>
        </w:numPr>
        <w:pStyle w:val="Compact"/>
      </w:pPr>
      <w:r>
        <w:t xml:space="preserve">Actualizar el portafolio de servicios con tecnologías actuales mediante un estilo de arquitectura orientada a microservicios​</w:t>
      </w:r>
    </w:p>
    <w:p>
      <w:pPr>
        <w:numPr>
          <w:ilvl w:val="0"/>
          <w:numId w:val="1073"/>
        </w:numPr>
        <w:pStyle w:val="Compact"/>
      </w:pPr>
      <w:r>
        <w:t xml:space="preserve">Agilidad en el desarrollo de soluciones ​</w:t>
      </w:r>
    </w:p>
    <w:bookmarkEnd w:id="154"/>
    <w:bookmarkStart w:id="155" w:name="actores-12"/>
    <w:p>
      <w:pPr>
        <w:pStyle w:val="Ttulo4"/>
      </w:pPr>
      <w:r>
        <w:t xml:space="preserve">Actores</w:t>
      </w:r>
    </w:p>
    <w:p>
      <w:pPr>
        <w:numPr>
          <w:ilvl w:val="0"/>
          <w:numId w:val="1074"/>
        </w:numPr>
        <w:pStyle w:val="Compact"/>
      </w:pPr>
      <w:r>
        <w:t xml:space="preserve">Oficina de arquitectura​</w:t>
      </w:r>
    </w:p>
    <w:p>
      <w:pPr>
        <w:numPr>
          <w:ilvl w:val="0"/>
          <w:numId w:val="1074"/>
        </w:numPr>
        <w:pStyle w:val="Compact"/>
      </w:pPr>
      <w:r>
        <w:t xml:space="preserve">Desarrollo / operaciones​</w:t>
      </w:r>
    </w:p>
    <w:p>
      <w:pPr>
        <w:numPr>
          <w:ilvl w:val="0"/>
          <w:numId w:val="1074"/>
        </w:numPr>
        <w:pStyle w:val="Compact"/>
      </w:pPr>
      <w:r>
        <w:t xml:space="preserve">Consultores SOA​</w:t>
      </w:r>
    </w:p>
    <w:bookmarkEnd w:id="155"/>
    <w:bookmarkStart w:id="156" w:name="impacto-beneficio-11"/>
    <w:p>
      <w:pPr>
        <w:pStyle w:val="Ttulo4"/>
      </w:pPr>
      <w:r>
        <w:t xml:space="preserve">Impacto / Beneficio</w:t>
      </w:r>
    </w:p>
    <w:p>
      <w:pPr>
        <w:numPr>
          <w:ilvl w:val="0"/>
          <w:numId w:val="1075"/>
        </w:numPr>
        <w:pStyle w:val="Compact"/>
      </w:pPr>
      <w:r>
        <w:t xml:space="preserve">Actualización tecnológica​</w:t>
      </w:r>
    </w:p>
    <w:p>
      <w:pPr>
        <w:numPr>
          <w:ilvl w:val="0"/>
          <w:numId w:val="1075"/>
        </w:numPr>
        <w:pStyle w:val="Compact"/>
      </w:pPr>
      <w:r>
        <w:t xml:space="preserve">Disminución en los costos y tiempos asociados al desarrollo de soluciones SOA​</w:t>
      </w:r>
    </w:p>
    <w:p>
      <w:pPr>
        <w:numPr>
          <w:ilvl w:val="0"/>
          <w:numId w:val="1075"/>
        </w:numPr>
        <w:pStyle w:val="Compact"/>
      </w:pPr>
      <w:r>
        <w:t xml:space="preserve">Modernización y utilización de los mecanismos de integración de servicios​</w:t>
      </w:r>
    </w:p>
    <w:bookmarkEnd w:id="156"/>
    <w:bookmarkStart w:id="157" w:name="alcance-11"/>
    <w:p>
      <w:pPr>
        <w:pStyle w:val="Ttulo4"/>
      </w:pPr>
      <w:r>
        <w:t xml:space="preserve">Alcance</w:t>
      </w:r>
    </w:p>
    <w:p>
      <w:pPr>
        <w:numPr>
          <w:ilvl w:val="0"/>
          <w:numId w:val="1076"/>
        </w:numPr>
        <w:pStyle w:val="Compact"/>
      </w:pPr>
      <w:r>
        <w:t xml:space="preserve">Revisión del proceso de desarrollo de software del FNA​</w:t>
      </w:r>
    </w:p>
    <w:p>
      <w:pPr>
        <w:numPr>
          <w:ilvl w:val="0"/>
          <w:numId w:val="1076"/>
        </w:numPr>
        <w:pStyle w:val="Compact"/>
      </w:pPr>
      <w:r>
        <w:t xml:space="preserve">Apropiación de técnicas de desarrollo ágil - DevOps​</w:t>
      </w:r>
    </w:p>
    <w:p>
      <w:pPr>
        <w:numPr>
          <w:ilvl w:val="0"/>
          <w:numId w:val="1076"/>
        </w:numPr>
        <w:pStyle w:val="Compact"/>
      </w:pPr>
      <w:r>
        <w:t xml:space="preserve">Metodologías de análisis, diseño e implementación orientadas a microservicios​</w:t>
      </w:r>
    </w:p>
    <w:p>
      <w:pPr>
        <w:numPr>
          <w:ilvl w:val="0"/>
          <w:numId w:val="1076"/>
        </w:numPr>
        <w:pStyle w:val="Compact"/>
      </w:pPr>
      <w:r>
        <w:t xml:space="preserve">Adecuación de la infraestructura para soportar los flujos de despliegue continuo / integración continua y desarrollo de Microservicios​</w:t>
      </w:r>
    </w:p>
    <w:bookmarkEnd w:id="157"/>
    <w:bookmarkStart w:id="158" w:name="tecnología-10"/>
    <w:p>
      <w:pPr>
        <w:pStyle w:val="Ttulo4"/>
      </w:pPr>
      <w:r>
        <w:t xml:space="preserve">Tecnología</w:t>
      </w:r>
    </w:p>
    <w:p>
      <w:pPr>
        <w:numPr>
          <w:ilvl w:val="0"/>
          <w:numId w:val="1077"/>
        </w:numPr>
        <w:pStyle w:val="Compact"/>
      </w:pPr>
      <w:r>
        <w:t xml:space="preserve">Herramientas de desarrollo</w:t>
      </w:r>
    </w:p>
    <w:p>
      <w:pPr>
        <w:numPr>
          <w:ilvl w:val="0"/>
          <w:numId w:val="1077"/>
        </w:numPr>
        <w:pStyle w:val="Compact"/>
      </w:pPr>
      <w:r>
        <w:t xml:space="preserve">Herramientas de despliegue continuo / IC</w:t>
      </w:r>
    </w:p>
    <w:p>
      <w:pPr>
        <w:numPr>
          <w:ilvl w:val="0"/>
          <w:numId w:val="1077"/>
        </w:numPr>
        <w:pStyle w:val="Compact"/>
      </w:pPr>
      <w:r>
        <w:t xml:space="preserve">Tecnologías cloud</w:t>
      </w:r>
    </w:p>
    <w:p>
      <w:pPr>
        <w:pStyle w:val="FirstParagraph"/>
      </w:pPr>
    </w:p>
    <w:bookmarkEnd w:id="158"/>
    <w:bookmarkStart w:id="159" w:name="portafolio-de-api"/>
    <w:p>
      <w:pPr>
        <w:pStyle w:val="Ttulo4"/>
      </w:pPr>
      <w:r>
        <w:t xml:space="preserve">Portafolio de API</w:t>
      </w:r>
    </w:p>
    <w:bookmarkEnd w:id="159"/>
    <w:bookmarkStart w:id="160" w:name="objetivo-13"/>
    <w:p>
      <w:pPr>
        <w:pStyle w:val="Ttulo4"/>
      </w:pPr>
      <w:r>
        <w:t xml:space="preserve">Objetivo</w:t>
      </w:r>
    </w:p>
    <w:p>
      <w:pPr>
        <w:pStyle w:val="FirstParagraph"/>
      </w:pPr>
      <w:r>
        <w:t xml:space="preserve">Establecer un portafolio institucional de funcionalidades, recursos y datos expuestos en API, que sirva como fuente única de la verdad sobre las versiones, tecnologías y características de todas las API de la organización​</w:t>
      </w:r>
    </w:p>
    <w:bookmarkEnd w:id="160"/>
    <w:bookmarkStart w:id="161" w:name="oportunidades-retos-13"/>
    <w:p>
      <w:pPr>
        <w:pStyle w:val="Ttulo4"/>
      </w:pPr>
      <w:r>
        <w:t xml:space="preserve">Oportunidades / Retos</w:t>
      </w:r>
    </w:p>
    <w:p>
      <w:pPr>
        <w:numPr>
          <w:ilvl w:val="0"/>
          <w:numId w:val="1078"/>
        </w:numPr>
        <w:pStyle w:val="Compact"/>
      </w:pPr>
      <w:r>
        <w:t xml:space="preserve">Gestión y estructuración del portafolio de API del FNA​</w:t>
      </w:r>
    </w:p>
    <w:p>
      <w:pPr>
        <w:numPr>
          <w:ilvl w:val="0"/>
          <w:numId w:val="1078"/>
        </w:numPr>
        <w:pStyle w:val="Compact"/>
      </w:pPr>
      <w:r>
        <w:t xml:space="preserve">Definición de los contratos de las API, las tecnologías y los atributos de calidad de las API de la organización​</w:t>
      </w:r>
    </w:p>
    <w:bookmarkEnd w:id="161"/>
    <w:bookmarkStart w:id="162" w:name="actores-13"/>
    <w:p>
      <w:pPr>
        <w:pStyle w:val="Ttulo4"/>
      </w:pPr>
      <w:r>
        <w:t xml:space="preserve">Actores</w:t>
      </w:r>
    </w:p>
    <w:p>
      <w:pPr>
        <w:numPr>
          <w:ilvl w:val="0"/>
          <w:numId w:val="1079"/>
        </w:numPr>
        <w:pStyle w:val="Compact"/>
      </w:pPr>
      <w:r>
        <w:t xml:space="preserve">Unidades de negocio​</w:t>
      </w:r>
    </w:p>
    <w:p>
      <w:pPr>
        <w:numPr>
          <w:ilvl w:val="0"/>
          <w:numId w:val="1079"/>
        </w:numPr>
        <w:pStyle w:val="Compact"/>
      </w:pPr>
      <w:r>
        <w:t xml:space="preserve">Oficina de Arquitectura​</w:t>
      </w:r>
    </w:p>
    <w:p>
      <w:pPr>
        <w:numPr>
          <w:ilvl w:val="0"/>
          <w:numId w:val="1079"/>
        </w:numPr>
        <w:pStyle w:val="Compact"/>
      </w:pPr>
      <w:r>
        <w:t xml:space="preserve">Proveedores del FNA (Cobis, IBM, Oracle)​</w:t>
      </w:r>
    </w:p>
    <w:p>
      <w:pPr>
        <w:numPr>
          <w:ilvl w:val="0"/>
          <w:numId w:val="1079"/>
        </w:numPr>
        <w:pStyle w:val="Compact"/>
      </w:pPr>
      <w:r>
        <w:t xml:space="preserve">Consultores / fabricantes de apoyo​</w:t>
      </w:r>
    </w:p>
    <w:bookmarkEnd w:id="162"/>
    <w:bookmarkStart w:id="163" w:name="impacto-beneficio-12"/>
    <w:p>
      <w:pPr>
        <w:pStyle w:val="Ttulo4"/>
      </w:pPr>
      <w:r>
        <w:t xml:space="preserve">Impacto / Beneficio</w:t>
      </w:r>
    </w:p>
    <w:p>
      <w:pPr>
        <w:numPr>
          <w:ilvl w:val="0"/>
          <w:numId w:val="1080"/>
        </w:numPr>
        <w:pStyle w:val="Compact"/>
      </w:pPr>
      <w:r>
        <w:t xml:space="preserve">Mejorar el gobierno y las estrategias de evolución y mantenimiento de las API del FNA​</w:t>
      </w:r>
    </w:p>
    <w:p>
      <w:pPr>
        <w:numPr>
          <w:ilvl w:val="0"/>
          <w:numId w:val="1080"/>
        </w:numPr>
        <w:pStyle w:val="Compact"/>
      </w:pPr>
      <w:r>
        <w:t xml:space="preserve">Mayor control en el diseño, desarrollo y operación de las API​</w:t>
      </w:r>
    </w:p>
    <w:p>
      <w:pPr>
        <w:numPr>
          <w:ilvl w:val="0"/>
          <w:numId w:val="1080"/>
        </w:numPr>
        <w:pStyle w:val="Compact"/>
      </w:pPr>
      <w:r>
        <w:t xml:space="preserve">Punto único de búsqueda y localización de API y servicios en la organización​</w:t>
      </w:r>
    </w:p>
    <w:bookmarkEnd w:id="163"/>
    <w:bookmarkStart w:id="164" w:name="alcance-12"/>
    <w:p>
      <w:pPr>
        <w:pStyle w:val="Ttulo4"/>
      </w:pPr>
      <w:r>
        <w:t xml:space="preserve">Alcance</w:t>
      </w:r>
    </w:p>
    <w:p>
      <w:pPr>
        <w:numPr>
          <w:ilvl w:val="0"/>
          <w:numId w:val="1081"/>
        </w:numPr>
        <w:pStyle w:val="Compact"/>
      </w:pPr>
      <w:r>
        <w:t xml:space="preserve">Estructuración del portafolio, en API privadas, públicas y consorcio​</w:t>
      </w:r>
    </w:p>
    <w:p>
      <w:pPr>
        <w:numPr>
          <w:ilvl w:val="0"/>
          <w:numId w:val="1081"/>
        </w:numPr>
        <w:pStyle w:val="Compact"/>
      </w:pPr>
      <w:r>
        <w:t xml:space="preserve">Diseño de la estructura y organización de las API de la organización​</w:t>
      </w:r>
    </w:p>
    <w:p>
      <w:pPr>
        <w:numPr>
          <w:ilvl w:val="0"/>
          <w:numId w:val="1081"/>
        </w:numPr>
        <w:pStyle w:val="Compact"/>
      </w:pPr>
      <w:r>
        <w:t xml:space="preserve">Definición de lineamientos y políticas de uso de las API ​</w:t>
      </w:r>
    </w:p>
    <w:p>
      <w:pPr>
        <w:numPr>
          <w:ilvl w:val="0"/>
          <w:numId w:val="1081"/>
        </w:numPr>
        <w:pStyle w:val="Compact"/>
      </w:pPr>
      <w:r>
        <w:t xml:space="preserve">Tecnologías e infraestructura requeridas para el desarrollo, pruebas y operación de las diferentes API​</w:t>
      </w:r>
    </w:p>
    <w:bookmarkEnd w:id="164"/>
    <w:bookmarkStart w:id="165" w:name="tecnología-11"/>
    <w:p>
      <w:pPr>
        <w:pStyle w:val="Ttulo4"/>
      </w:pPr>
      <w:r>
        <w:t xml:space="preserve">Tecnología</w:t>
      </w:r>
    </w:p>
    <w:p>
      <w:pPr>
        <w:numPr>
          <w:ilvl w:val="0"/>
          <w:numId w:val="1082"/>
        </w:numPr>
        <w:pStyle w:val="Compact"/>
      </w:pPr>
      <w:r>
        <w:t xml:space="preserve">Portafolio de API</w:t>
      </w:r>
    </w:p>
    <w:p>
      <w:pPr>
        <w:numPr>
          <w:ilvl w:val="0"/>
          <w:numId w:val="1082"/>
        </w:numPr>
        <w:pStyle w:val="Compact"/>
      </w:pPr>
      <w:r>
        <w:t xml:space="preserve">Herramientas de diseño de API</w:t>
      </w:r>
    </w:p>
    <w:p>
      <w:pPr>
        <w:pStyle w:val="FirstParagraph"/>
      </w:pPr>
    </w:p>
    <w:bookmarkEnd w:id="165"/>
    <w:bookmarkEnd w:id="166"/>
    <w:bookmarkStart w:id="173" w:name="service-mesh"/>
    <w:p>
      <w:pPr>
        <w:pStyle w:val="Ttulo3"/>
      </w:pPr>
      <w:r>
        <w:t xml:space="preserve">Service Mesh</w:t>
      </w:r>
    </w:p>
    <w:bookmarkStart w:id="167" w:name="objetivo-14"/>
    <w:p>
      <w:pPr>
        <w:pStyle w:val="Ttulo4"/>
      </w:pPr>
      <w:r>
        <w:t xml:space="preserve">Objetivo</w:t>
      </w:r>
    </w:p>
    <w:p>
      <w:pPr>
        <w:pStyle w:val="FirstParagraph"/>
      </w:pPr>
      <w:r>
        <w:t xml:space="preserve">Mejorar de la comunicación, estabilidad (reintento y tolerancia a fallos) y la disponibilidad de servicios SOA y microservicios del Fondo mediante el uso de proxys.</w:t>
      </w:r>
    </w:p>
    <w:bookmarkEnd w:id="167"/>
    <w:bookmarkStart w:id="168" w:name="oportunidades-retos-14"/>
    <w:p>
      <w:pPr>
        <w:pStyle w:val="Ttulo4"/>
      </w:pPr>
      <w:r>
        <w:t xml:space="preserve">Oportunidades / Retos</w:t>
      </w:r>
    </w:p>
    <w:p>
      <w:pPr>
        <w:numPr>
          <w:ilvl w:val="0"/>
          <w:numId w:val="1083"/>
        </w:numPr>
        <w:pStyle w:val="Compact"/>
      </w:pPr>
      <w:r>
        <w:t xml:space="preserve">Modernizar los mecanismos de orquestación de servicios​</w:t>
      </w:r>
    </w:p>
    <w:p>
      <w:pPr>
        <w:numPr>
          <w:ilvl w:val="0"/>
          <w:numId w:val="1083"/>
        </w:numPr>
        <w:pStyle w:val="Compact"/>
      </w:pPr>
      <w:r>
        <w:t xml:space="preserve">Proponer alternativas para el manejo de escalabilidad, seguridad y monitoreo de servicios​</w:t>
      </w:r>
    </w:p>
    <w:p>
      <w:pPr>
        <w:numPr>
          <w:ilvl w:val="0"/>
          <w:numId w:val="1083"/>
        </w:numPr>
        <w:pStyle w:val="Compact"/>
      </w:pPr>
      <w:r>
        <w:t xml:space="preserve">Proponer esquemas de operación de servicios orientados a la nube​</w:t>
      </w:r>
    </w:p>
    <w:bookmarkEnd w:id="168"/>
    <w:bookmarkStart w:id="169" w:name="actores-14"/>
    <w:p>
      <w:pPr>
        <w:pStyle w:val="Ttulo4"/>
      </w:pPr>
      <w:r>
        <w:t xml:space="preserve">Actores</w:t>
      </w:r>
    </w:p>
    <w:p>
      <w:pPr>
        <w:numPr>
          <w:ilvl w:val="0"/>
          <w:numId w:val="1084"/>
        </w:numPr>
        <w:pStyle w:val="Compact"/>
      </w:pPr>
      <w:r>
        <w:t xml:space="preserve">Oficina de Arquitectura FNA​</w:t>
      </w:r>
    </w:p>
    <w:p>
      <w:pPr>
        <w:numPr>
          <w:ilvl w:val="0"/>
          <w:numId w:val="1084"/>
        </w:numPr>
        <w:pStyle w:val="Compact"/>
      </w:pPr>
      <w:r>
        <w:t xml:space="preserve">Consultores de Apoyo​</w:t>
      </w:r>
    </w:p>
    <w:bookmarkEnd w:id="169"/>
    <w:bookmarkStart w:id="170" w:name="impacto-beneficio-13"/>
    <w:p>
      <w:pPr>
        <w:pStyle w:val="Ttulo4"/>
      </w:pPr>
      <w:r>
        <w:t xml:space="preserve">Impacto / Beneficio</w:t>
      </w:r>
    </w:p>
    <w:p>
      <w:pPr>
        <w:numPr>
          <w:ilvl w:val="0"/>
          <w:numId w:val="1085"/>
        </w:numPr>
        <w:pStyle w:val="Compact"/>
      </w:pPr>
      <w:r>
        <w:t xml:space="preserve">Apoyo a la estrategia de transición hacia microservicios​</w:t>
      </w:r>
    </w:p>
    <w:p>
      <w:pPr>
        <w:numPr>
          <w:ilvl w:val="0"/>
          <w:numId w:val="1085"/>
        </w:numPr>
        <w:pStyle w:val="Compact"/>
      </w:pPr>
      <w:r>
        <w:t xml:space="preserve">Mayor control y monitoreo de los microservicios​</w:t>
      </w:r>
    </w:p>
    <w:p>
      <w:pPr>
        <w:numPr>
          <w:ilvl w:val="0"/>
          <w:numId w:val="1085"/>
        </w:numPr>
        <w:pStyle w:val="Compact"/>
      </w:pPr>
      <w:r>
        <w:t xml:space="preserve">Posibilidad de un despliegue multi-cloud de los microservicios​</w:t>
      </w:r>
    </w:p>
    <w:p>
      <w:pPr>
        <w:numPr>
          <w:ilvl w:val="0"/>
          <w:numId w:val="1085"/>
        </w:numPr>
        <w:pStyle w:val="Compact"/>
      </w:pPr>
      <w:r>
        <w:t xml:space="preserve">Mejorar mecanismos de comunicación y control de los micro servicios​</w:t>
      </w:r>
    </w:p>
    <w:bookmarkEnd w:id="170"/>
    <w:bookmarkStart w:id="171" w:name="alcance-13"/>
    <w:p>
      <w:pPr>
        <w:pStyle w:val="Ttulo4"/>
      </w:pPr>
      <w:r>
        <w:t xml:space="preserve">Alcance</w:t>
      </w:r>
    </w:p>
    <w:p>
      <w:pPr>
        <w:numPr>
          <w:ilvl w:val="0"/>
          <w:numId w:val="1086"/>
        </w:numPr>
        <w:pStyle w:val="Compact"/>
      </w:pPr>
      <w:r>
        <w:t xml:space="preserve">Diseño de arquitectura ​</w:t>
      </w:r>
    </w:p>
    <w:p>
      <w:pPr>
        <w:numPr>
          <w:ilvl w:val="0"/>
          <w:numId w:val="1086"/>
        </w:numPr>
        <w:pStyle w:val="Compact"/>
      </w:pPr>
      <w:r>
        <w:t xml:space="preserve">Instalación de una herramienta que implemente el patrón service-mesh (Control Plan – Data plane)​</w:t>
      </w:r>
    </w:p>
    <w:p>
      <w:pPr>
        <w:numPr>
          <w:ilvl w:val="0"/>
          <w:numId w:val="1086"/>
        </w:numPr>
        <w:pStyle w:val="Compact"/>
      </w:pPr>
      <w:r>
        <w:t xml:space="preserve">Prueba piloto inicial con un subconjunto de servicios​</w:t>
      </w:r>
    </w:p>
    <w:p>
      <w:pPr>
        <w:numPr>
          <w:ilvl w:val="0"/>
          <w:numId w:val="1086"/>
        </w:numPr>
        <w:pStyle w:val="Compact"/>
      </w:pPr>
      <w:r>
        <w:t xml:space="preserve">Extensión de la prueba piloto a un proceso de misión crítica​</w:t>
      </w:r>
    </w:p>
    <w:bookmarkEnd w:id="171"/>
    <w:bookmarkStart w:id="172" w:name="tecnología-12"/>
    <w:p>
      <w:pPr>
        <w:pStyle w:val="Ttulo4"/>
      </w:pPr>
      <w:r>
        <w:t xml:space="preserve">Tecnología</w:t>
      </w:r>
    </w:p>
    <w:p>
      <w:pPr>
        <w:numPr>
          <w:ilvl w:val="0"/>
          <w:numId w:val="1087"/>
        </w:numPr>
        <w:pStyle w:val="Compact"/>
      </w:pPr>
      <w:r>
        <w:t xml:space="preserve">Implementación service Mesh: Istio, Amazon App Mesh, Meshery</w:t>
      </w:r>
    </w:p>
    <w:p>
      <w:pPr>
        <w:numPr>
          <w:ilvl w:val="0"/>
          <w:numId w:val="1087"/>
        </w:numPr>
        <w:pStyle w:val="Compact"/>
      </w:pPr>
      <w:r>
        <w:t xml:space="preserve">Kubernetes</w:t>
      </w:r>
    </w:p>
    <w:p>
      <w:pPr>
        <w:numPr>
          <w:ilvl w:val="0"/>
          <w:numId w:val="1087"/>
        </w:numPr>
        <w:pStyle w:val="Compact"/>
      </w:pPr>
      <w:r>
        <w:t xml:space="preserve">Docker</w:t>
      </w:r>
    </w:p>
    <w:p>
      <w:pPr>
        <w:pStyle w:val="FirstParagraph"/>
      </w:pPr>
    </w:p>
    <w:bookmarkEnd w:id="172"/>
    <w:bookmarkEnd w:id="173"/>
    <w:bookmarkStart w:id="180" w:name="plataforma-híbrida-de-integración"/>
    <w:p>
      <w:pPr>
        <w:pStyle w:val="Ttulo3"/>
      </w:pPr>
      <w:r>
        <w:t xml:space="preserve">Plataforma Híbrida de Integración</w:t>
      </w:r>
    </w:p>
    <w:bookmarkStart w:id="174" w:name="objetivo-15"/>
    <w:p>
      <w:pPr>
        <w:pStyle w:val="Ttulo4"/>
      </w:pPr>
      <w:r>
        <w:t xml:space="preserve">Objetivo</w:t>
      </w:r>
    </w:p>
    <w:p>
      <w:pPr>
        <w:pStyle w:val="FirstParagraph"/>
      </w:pPr>
      <w:r>
        <w:t xml:space="preserve">Establecer un esquema de integración orientado a mensajes integrado con mecanismos de integración síncronos​</w:t>
      </w:r>
    </w:p>
    <w:bookmarkEnd w:id="174"/>
    <w:bookmarkStart w:id="175" w:name="oportunidades-retos-15"/>
    <w:p>
      <w:pPr>
        <w:pStyle w:val="Ttulo4"/>
      </w:pPr>
      <w:r>
        <w:t xml:space="preserve">Oportunidades / Retos</w:t>
      </w:r>
    </w:p>
    <w:p>
      <w:pPr>
        <w:numPr>
          <w:ilvl w:val="0"/>
          <w:numId w:val="1088"/>
        </w:numPr>
        <w:pStyle w:val="Compact"/>
      </w:pPr>
      <w:r>
        <w:t xml:space="preserve">Potencializar el uso de la tecnología de integración instalada (ESB y Mensajería)​</w:t>
      </w:r>
    </w:p>
    <w:p>
      <w:pPr>
        <w:numPr>
          <w:ilvl w:val="0"/>
          <w:numId w:val="1088"/>
        </w:numPr>
        <w:pStyle w:val="Compact"/>
      </w:pPr>
      <w:r>
        <w:t xml:space="preserve">Modernizar los esquemas de integración de la organización con esquemas híbridos (síncronos y asíncronos)​</w:t>
      </w:r>
    </w:p>
    <w:p>
      <w:pPr>
        <w:numPr>
          <w:ilvl w:val="0"/>
          <w:numId w:val="1088"/>
        </w:numPr>
        <w:pStyle w:val="Compact"/>
      </w:pPr>
      <w:r>
        <w:t xml:space="preserve">Propender por arquitecturas orientadas a eventos​</w:t>
      </w:r>
    </w:p>
    <w:bookmarkEnd w:id="175"/>
    <w:bookmarkStart w:id="176" w:name="actores-15"/>
    <w:p>
      <w:pPr>
        <w:pStyle w:val="Ttulo4"/>
      </w:pPr>
      <w:r>
        <w:t xml:space="preserve">Actores</w:t>
      </w:r>
    </w:p>
    <w:p>
      <w:pPr>
        <w:numPr>
          <w:ilvl w:val="0"/>
          <w:numId w:val="1089"/>
        </w:numPr>
        <w:pStyle w:val="Compact"/>
      </w:pPr>
      <w:r>
        <w:t xml:space="preserve">Encargados de infraestructura y operaciones​</w:t>
      </w:r>
    </w:p>
    <w:p>
      <w:pPr>
        <w:numPr>
          <w:ilvl w:val="0"/>
          <w:numId w:val="1089"/>
        </w:numPr>
        <w:pStyle w:val="Compact"/>
      </w:pPr>
      <w:r>
        <w:t xml:space="preserve">Oficina Arquitectura de FNA​</w:t>
      </w:r>
    </w:p>
    <w:p>
      <w:pPr>
        <w:numPr>
          <w:ilvl w:val="0"/>
          <w:numId w:val="1089"/>
        </w:numPr>
        <w:pStyle w:val="Compact"/>
      </w:pPr>
      <w:r>
        <w:t xml:space="preserve">Consultores de apoyo​</w:t>
      </w:r>
    </w:p>
    <w:bookmarkEnd w:id="176"/>
    <w:bookmarkStart w:id="177" w:name="impacto-beneficio-14"/>
    <w:p>
      <w:pPr>
        <w:pStyle w:val="Ttulo4"/>
      </w:pPr>
      <w:r>
        <w:t xml:space="preserve">Impacto / Beneficio</w:t>
      </w:r>
    </w:p>
    <w:p>
      <w:pPr>
        <w:numPr>
          <w:ilvl w:val="0"/>
          <w:numId w:val="1090"/>
        </w:numPr>
        <w:pStyle w:val="Compact"/>
      </w:pPr>
      <w:r>
        <w:t xml:space="preserve">Disminución de la complejidad asociada a la orquestación de servicios​</w:t>
      </w:r>
    </w:p>
    <w:p>
      <w:pPr>
        <w:numPr>
          <w:ilvl w:val="0"/>
          <w:numId w:val="1090"/>
        </w:numPr>
        <w:pStyle w:val="Compact"/>
      </w:pPr>
      <w:r>
        <w:t xml:space="preserve">Desacoplamiento de las soluciones y servicios del ecosistema de servicios de la organización​</w:t>
      </w:r>
    </w:p>
    <w:p>
      <w:pPr>
        <w:numPr>
          <w:ilvl w:val="0"/>
          <w:numId w:val="1090"/>
        </w:numPr>
        <w:pStyle w:val="Compact"/>
      </w:pPr>
      <w:r>
        <w:t xml:space="preserve">Menor dependencia del bus de servicios​</w:t>
      </w:r>
    </w:p>
    <w:bookmarkEnd w:id="177"/>
    <w:bookmarkStart w:id="178" w:name="alcance-14"/>
    <w:p>
      <w:pPr>
        <w:pStyle w:val="Ttulo4"/>
      </w:pPr>
      <w:r>
        <w:t xml:space="preserve">Alcance</w:t>
      </w:r>
    </w:p>
    <w:p>
      <w:pPr>
        <w:numPr>
          <w:ilvl w:val="0"/>
          <w:numId w:val="1091"/>
        </w:numPr>
        <w:pStyle w:val="Compact"/>
      </w:pPr>
      <w:r>
        <w:t xml:space="preserve">Diseño de arquitectura​</w:t>
      </w:r>
    </w:p>
    <w:p>
      <w:pPr>
        <w:numPr>
          <w:ilvl w:val="0"/>
          <w:numId w:val="1091"/>
        </w:numPr>
        <w:pStyle w:val="Compact"/>
      </w:pPr>
      <w:r>
        <w:t xml:space="preserve">Prueba piloto con orquestación y coreografía​</w:t>
      </w:r>
    </w:p>
    <w:p>
      <w:pPr>
        <w:numPr>
          <w:ilvl w:val="0"/>
          <w:numId w:val="1091"/>
        </w:numPr>
        <w:pStyle w:val="Compact"/>
      </w:pPr>
      <w:r>
        <w:t xml:space="preserve">Extensión de la prueba a un proceso misional​</w:t>
      </w:r>
    </w:p>
    <w:bookmarkEnd w:id="178"/>
    <w:bookmarkStart w:id="179" w:name="tecnología-13"/>
    <w:p>
      <w:pPr>
        <w:pStyle w:val="Ttulo4"/>
      </w:pPr>
      <w:r>
        <w:t xml:space="preserve">Tecnología</w:t>
      </w:r>
    </w:p>
    <w:p>
      <w:pPr>
        <w:numPr>
          <w:ilvl w:val="0"/>
          <w:numId w:val="1092"/>
        </w:numPr>
        <w:pStyle w:val="Compact"/>
      </w:pPr>
      <w:r>
        <w:t xml:space="preserve">ESB</w:t>
      </w:r>
    </w:p>
    <w:p>
      <w:pPr>
        <w:numPr>
          <w:ilvl w:val="0"/>
          <w:numId w:val="1092"/>
        </w:numPr>
        <w:pStyle w:val="Compact"/>
      </w:pPr>
      <w:r>
        <w:t xml:space="preserve">Plataforma de Mensajería</w:t>
      </w:r>
    </w:p>
    <w:p>
      <w:pPr>
        <w:pStyle w:val="FirstParagraph"/>
      </w:pPr>
    </w:p>
    <w:bookmarkEnd w:id="179"/>
    <w:bookmarkEnd w:id="180"/>
    <w:bookmarkEnd w:id="181"/>
    <w:bookmarkEnd w:id="182"/>
    <w:bookmarkStart w:id="183" w:name="fase-3-soa-objetivo-1"/>
    <w:p>
      <w:pPr>
        <w:pStyle w:val="Ttulo1"/>
      </w:pPr>
      <w:r>
        <w:t xml:space="preserve">Fase 3: SOA Objetivo</w:t>
      </w:r>
    </w:p>
    <w:bookmarkEnd w:id="183"/>
    <w:bookmarkStart w:id="184" w:name="X5c0c69e660e78a6abcb50f83e9ffaa519594cea"/>
    <w:p>
      <w:pPr>
        <w:pStyle w:val="Ttulo1"/>
      </w:pPr>
      <w:r>
        <w:t xml:space="preserve">Contenido de los Productos Contractuales, 181-2020</w:t>
      </w:r>
    </w:p>
    <w:bookmarkEnd w:id="184"/>
    <w:bookmarkStart w:id="209"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185"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185"/>
    <w:bookmarkStart w:id="186" w:name="contenidos-1"/>
    <w:p>
      <w:pPr>
        <w:pStyle w:val="Ttulo2"/>
      </w:pPr>
      <w:r>
        <w:t xml:space="preserve">Contenidos</w:t>
      </w:r>
    </w:p>
    <w:p>
      <w:pPr>
        <w:numPr>
          <w:ilvl w:val="0"/>
          <w:numId w:val="1093"/>
        </w:numPr>
        <w:pStyle w:val="Compact"/>
      </w:pPr>
      <w:r>
        <w:t xml:space="preserve">Hoja de ruta de los proyectos de cambio</w:t>
      </w:r>
    </w:p>
    <w:p>
      <w:pPr>
        <w:numPr>
          <w:ilvl w:val="0"/>
          <w:numId w:val="1093"/>
        </w:numPr>
        <w:pStyle w:val="Compact"/>
      </w:pPr>
      <w:r>
        <w:t xml:space="preserve">Estimaciones y análisis de impacto y dependencia entre los cambios en el segmento de la empresa</w:t>
      </w:r>
    </w:p>
    <w:p>
      <w:pPr>
        <w:numPr>
          <w:ilvl w:val="0"/>
          <w:numId w:val="1093"/>
        </w:numPr>
        <w:pStyle w:val="Compact"/>
      </w:pPr>
      <w:r>
        <w:t xml:space="preserve">Consideraciones para la ejecución de los primeros cambios</w:t>
      </w:r>
    </w:p>
    <w:p>
      <w:pPr>
        <w:numPr>
          <w:ilvl w:val="0"/>
          <w:numId w:val="1093"/>
        </w:numPr>
        <w:pStyle w:val="Compact"/>
      </w:pPr>
      <w:r>
        <w:t xml:space="preserve">Puntos de control en la ejecución de la hoja de ruta SOA</w:t>
      </w:r>
    </w:p>
    <w:p>
      <w:pPr>
        <w:pStyle w:val="FirstParagraph"/>
      </w:pPr>
    </w:p>
    <w:bookmarkEnd w:id="186"/>
    <w:bookmarkStart w:id="187" w:name="criterios-de-aceptación-1"/>
    <w:p>
      <w:pPr>
        <w:pStyle w:val="Ttulo2"/>
      </w:pPr>
      <w:r>
        <w:t xml:space="preserve">Criterios de Aceptación</w:t>
      </w:r>
    </w:p>
    <w:p>
      <w:pPr>
        <w:numPr>
          <w:ilvl w:val="0"/>
          <w:numId w:val="1094"/>
        </w:numPr>
        <w:pStyle w:val="Compact"/>
      </w:pPr>
      <w:r>
        <w:t xml:space="preserve">Lista de cambios para el segmento FNA: ítems incluídos, por mejorar, nuevos y eliminados</w:t>
      </w:r>
    </w:p>
    <w:p>
      <w:pPr>
        <w:numPr>
          <w:ilvl w:val="0"/>
          <w:numId w:val="1094"/>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cambio</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0ad6129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187"/>
    <w:bookmarkStart w:id="188" w:name="Xe8b290bf6bbbe8351a17f47bb578fe5e254361c"/>
    <w:p>
      <w:pPr>
        <w:pStyle w:val="Ttulo2"/>
      </w:pPr>
      <w:r>
        <w:t xml:space="preserve">Hoja de Ruta E-Service FNA de los Proyectos de Cambio</w:t>
      </w:r>
    </w:p>
    <w:bookmarkEnd w:id="188"/>
    <w:bookmarkStart w:id="192" w:name="X3e5c6ef72c682473ee3f54882a0f30e89d1196f"/>
    <w:p>
      <w:pPr>
        <w:pStyle w:val="Ttulo2"/>
      </w:pPr>
      <w:r>
        <w:t xml:space="preserve">Resumen de Problemáticas del Diagnóstivo de Madurez SOA del FNA</w:t>
      </w:r>
    </w:p>
    <w:p>
      <w:pPr>
        <w:numPr>
          <w:ilvl w:val="0"/>
          <w:numId w:val="1095"/>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95"/>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95"/>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95"/>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190" name="Picture"/>
            <a:graphic>
              <a:graphicData uri="http://schemas.openxmlformats.org/drawingml/2006/picture">
                <pic:pic>
                  <pic:nvPicPr>
                    <pic:cNvPr descr="images/madurezInfo_graf.png" id="191" name="Picture"/>
                    <pic:cNvPicPr>
                      <a:picLocks noChangeArrowheads="1" noChangeAspect="1"/>
                    </pic:cNvPicPr>
                  </pic:nvPicPr>
                  <pic:blipFill>
                    <a:blip r:embed="rId189"/>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95"/>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95"/>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95"/>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192"/>
    <w:bookmarkStart w:id="196" w:name="análisis-de-las-fortalezas-soa-del-fna"/>
    <w:p>
      <w:pPr>
        <w:pStyle w:val="Ttulo2"/>
      </w:pPr>
      <w:r>
        <w:t xml:space="preserve">Análisis de las Fortalezas SOA del FNA</w:t>
      </w:r>
    </w:p>
    <w:p>
      <w:pPr>
        <w:numPr>
          <w:ilvl w:val="0"/>
          <w:numId w:val="1096"/>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96"/>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193">
        <w:r>
          <w:rPr>
            <w:rStyle w:val="Hipervnculo"/>
          </w:rPr>
          <w:t xml:space="preserve">N003e. Catálogo de Servicios FNA-1</w:t>
        </w:r>
      </w:hyperlink>
      <w:r>
        <w:t xml:space="preserve">, y</w:t>
      </w:r>
      <w:r>
        <w:t xml:space="preserve"> </w:t>
      </w:r>
      <w:hyperlink r:id="rId194">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96"/>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194">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96"/>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195">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96"/>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196"/>
    <w:bookmarkStart w:id="199"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197">
        <w:r>
          <w:rPr>
            <w:rStyle w:val="Hipervnculo"/>
          </w:rPr>
          <w:t xml:space="preserve">Resultado Diagnóstico Situación Actual-3</w:t>
        </w:r>
      </w:hyperlink>
      <w:r>
        <w:t xml:space="preserve">, la prevalencia del enfoque ascendente, esto es desde el provedor hacia el negocio</w:t>
      </w:r>
      <w:r>
        <w:t xml:space="preserve"> </w:t>
      </w:r>
      <w:hyperlink r:id="rId198">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199"/>
    <w:bookmarkStart w:id="201"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8">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01"/>
    <w:bookmarkStart w:id="202"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02"/>
    <w:bookmarkStart w:id="203"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03"/>
    <w:bookmarkStart w:id="204"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8">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97"/>
        </w:numPr>
        <w:pStyle w:val="Compact"/>
      </w:pPr>
      <w:r>
        <w:t xml:space="preserve">Redundancias y el atraso de la información de los modelos y conceptos.</w:t>
      </w:r>
    </w:p>
    <w:p>
      <w:pPr>
        <w:numPr>
          <w:ilvl w:val="0"/>
          <w:numId w:val="1097"/>
        </w:numPr>
        <w:pStyle w:val="Compact"/>
      </w:pPr>
      <w:r>
        <w:t xml:space="preserve">Incompletitud en el modelamiento de conceptos, como las capacidades de negocio, o los procesos de negocio del FNA.</w:t>
      </w:r>
    </w:p>
    <w:p>
      <w:pPr>
        <w:numPr>
          <w:ilvl w:val="0"/>
          <w:numId w:val="1097"/>
        </w:numPr>
        <w:pStyle w:val="Compact"/>
      </w:pPr>
      <w:r>
        <w:t xml:space="preserve">Inconsistencia en el lenguaje de modelado. Falta estandarizar nombres y formas de representación de los mismo conceptos entre modelos.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Plan de comisionamiento e implementación de Infraestrutura</w:t>
            </w:r>
          </w:p>
        </w:tc>
      </w:tr>
      <w:tr>
        <w:tc>
          <w:tcPr/>
          <w:p>
            <w:pPr>
              <w:pStyle w:val="Compact"/>
              <w:jc w:val="left"/>
            </w:pPr>
            <w:r>
              <w:t xml:space="preserve">Palabras clave</w:t>
            </w:r>
          </w:p>
        </w:tc>
        <w:tc>
          <w:tcPr/>
          <w:p>
            <w:pPr>
              <w:pStyle w:val="Compact"/>
              <w:jc w:val="left"/>
            </w:pPr>
            <w:r>
              <w:t xml:space="preserve">SOA, Proyecto de cierre brecha, Brecha, Infraestructura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0ad6129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204"/>
    <w:bookmarkStart w:id="208" w:name="X2b3e2a70662d7cbaa79f8e85167a02849b2cf4a"/>
    <w:p>
      <w:pPr>
        <w:pStyle w:val="Ttulo2"/>
      </w:pPr>
      <w:r>
        <w:t xml:space="preserve">Plan de Comisionamiento e Implementación de Infraestrutura</w:t>
      </w:r>
    </w:p>
    <w:p>
      <w:pPr>
        <w:pStyle w:val="FirstParagraph"/>
      </w:pPr>
      <w:r>
        <w:t xml:space="preserve">A partir de la comparativa de la industria (ver Fase 2, …), y de otros diagnósticos de fases anterior de este ejercicio, como el dominio de infraestructura (…) de la arquitectura de referencia (…), la vigilancia y avances de la industria (…), encontramos los siguientes proyectos de infraestructura a incluir en el plan de comisionamiento o adquisición de tecnología del FNA.</w:t>
      </w:r>
    </w:p>
    <w:p>
      <w:pPr>
        <w:pStyle w:val="Textoindependiente"/>
      </w:pPr>
      <w:r>
        <w:t xml:space="preserve">Conjugando todos los diagnósticos indicados, listamos los proyectos de adquisición y/o montaje de infraestructura requeridos para el plan de comisionamiento o adquisición tecnológica del FNA.</w:t>
      </w:r>
    </w:p>
    <w:bookmarkStart w:id="205" w:name="arquitectura-soa"/>
    <w:p>
      <w:pPr>
        <w:pStyle w:val="Ttulo3"/>
      </w:pPr>
      <w:r>
        <w:t xml:space="preserve">Arquitectura SOA</w:t>
      </w:r>
    </w:p>
    <w:p>
      <w:pPr>
        <w:pStyle w:val="FirstParagraph"/>
      </w:pPr>
      <w:r>
        <w:t xml:space="preserve">Adquisición de licencias de la herramienta de modelado de arquitectura y de herramientas adicionales de modelado de arquitecturas de servicios, como Integration Designer de IBM, licencias de ejecución y programación de modelos Archimate.</w:t>
      </w:r>
    </w:p>
    <w:p>
      <w:pPr>
        <w:pStyle w:val="Textoindependiente"/>
      </w:pPr>
    </w:p>
    <w:bookmarkEnd w:id="205"/>
    <w:bookmarkStart w:id="206" w:name="gobierno-soa"/>
    <w:p>
      <w:pPr>
        <w:pStyle w:val="Ttulo3"/>
      </w:pPr>
      <w:r>
        <w:t xml:space="preserve">Gobierno SOA</w:t>
      </w:r>
    </w:p>
    <w:p>
      <w:pPr>
        <w:pStyle w:val="FirstParagraph"/>
      </w:pPr>
      <w:r>
        <w:t xml:space="preserve">Adicional a la infraestructura de software relacionado con el Gobierno SOA, el FNA debe considerar en su plan de adquisición de tecnología e infraestructura las indicadas a continuación:</w:t>
      </w:r>
      <w:r>
        <w:t xml:space="preserve"> </w:t>
      </w:r>
      <w:r>
        <w:t xml:space="preserve">(Arquitectura de referencia SOA) servidores de aplicación y funciones de nube sin servidor para implementar la mejora de servicios SOA incorporada en la arquitectura de referencia 2.0 (</w:t>
      </w:r>
      <w:r>
        <w:rPr>
          <w:iCs/>
          <w:i/>
        </w:rPr>
        <w:t xml:space="preserve">service mesh</w:t>
      </w:r>
      <w:r>
        <w:t xml:space="preserve">), servidores o servicios de aplicación para la implementación de GraphQL, y una subscripción individual adicional con el proveedor de nube (CSP) adjudicado al FNA. Sumamos a estas adquisiciones de infraestrctura otras de índole operativa, pero complementarias, e igualmente necesarias. Se tratan de las herramienta y licencias de documentación y generación de contenido técnico, como manuales, procedimientos, lecciones, configuración de compoenntes, entre otros.</w:t>
      </w:r>
    </w:p>
    <w:p>
      <w:pPr>
        <w:pStyle w:val="Textoindependiente"/>
      </w:pPr>
    </w:p>
    <w:bookmarkEnd w:id="206"/>
    <w:bookmarkStart w:id="207" w:name="estrategia-de-versionamiento"/>
    <w:p>
      <w:pPr>
        <w:pStyle w:val="Ttulo3"/>
      </w:pPr>
      <w:r>
        <w:t xml:space="preserve">Estrategia de Versionamiento</w:t>
      </w:r>
    </w:p>
    <w:p>
      <w:pPr>
        <w:pStyle w:val="FirstParagraph"/>
      </w:pPr>
      <w:r>
        <w:t xml:space="preserve">Los proyectos de adquisición tecnológicas que relacionaremos aquí para el manejo de versión tienen que ver únicamente con el versionamiento de los servicios y API, que son los componentes activos hacia los que apunta la arquitectura de referencia SOA 2.0 diagnosticada por este ejercicio. En este sentido, tenemos: para el manejo de la gestión del cambio se requiere la adquisición de los equipos y licencias de un API Gateway (el que la entidad elija pero compatible con la arquitectura 2.0), junto con los equipos para la ejecución de las Herramientas de documentación y gestión de las versiones de servicios, como Swagger, MadCap Flare, y OpenAPI.</w:t>
      </w:r>
    </w:p>
    <w:p>
      <w:pPr>
        <w:pStyle w:val="Textoindependiente"/>
      </w:pPr>
    </w:p>
    <w:p>
      <w:pPr>
        <w:numPr>
          <w:ilvl w:val="0"/>
          <w:numId w:val="1098"/>
        </w:numPr>
        <w:pStyle w:val="Compact"/>
      </w:pPr>
      <w:r>
        <w:t xml:space="preserve">Monitoreo y Operación</w:t>
      </w:r>
    </w:p>
    <w:p>
      <w:pPr>
        <w:numPr>
          <w:ilvl w:val="0"/>
          <w:numId w:val="1098"/>
        </w:numPr>
        <w:pStyle w:val="Compact"/>
      </w:pPr>
      <w:r>
        <w:t xml:space="preserve">Mantenimiento y Evolución</w:t>
      </w:r>
    </w:p>
    <w:p>
      <w:pPr>
        <w:numPr>
          <w:ilvl w:val="0"/>
          <w:numId w:val="1098"/>
        </w:numPr>
        <w:pStyle w:val="Compact"/>
      </w:pPr>
      <w:r>
        <w:t xml:space="preserve">Nuevas tecnologías</w:t>
      </w:r>
    </w:p>
    <w:bookmarkEnd w:id="207"/>
    <w:bookmarkEnd w:id="208"/>
    <w:bookmarkEnd w:id="20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48" Target="media/rId48.jpg" /><Relationship Type="http://schemas.openxmlformats.org/officeDocument/2006/relationships/image" Id="rId52" Target="media/rId52.jpg" /><Relationship Type="http://schemas.openxmlformats.org/officeDocument/2006/relationships/image" Id="rId189" Target="media/rId189.png" /><Relationship Type="http://schemas.openxmlformats.org/officeDocument/2006/relationships/hyperlink" Id="rId38" Target="" TargetMode="External" /><Relationship Type="http://schemas.openxmlformats.org/officeDocument/2006/relationships/hyperlink" Id="rId195" Target="N003e.Cat&#225;logodeServicios.md" TargetMode="External" /><Relationship Type="http://schemas.openxmlformats.org/officeDocument/2006/relationships/hyperlink" Id="rId193" Target="N003e.Cat&#225;logodeServiciosFNA-1.md" TargetMode="External" /><Relationship Type="http://schemas.openxmlformats.org/officeDocument/2006/relationships/hyperlink" Id="rId194" Target="N003e.Cat&#225;logodeServiciosFNA-2.md" TargetMode="External" /><Relationship Type="http://schemas.openxmlformats.org/officeDocument/2006/relationships/hyperlink" Id="rId32" Target="N03a%a20Vsta%20aSegenta%20SOA%20FNA.md" TargetMode="External" /><Relationship Type="http://schemas.openxmlformats.org/officeDocument/2006/relationships/hyperlink" Id="rId200" Target="ResultadoDiagn&#243;sticoSituaci&#243;nActual-1" TargetMode="External" /><Relationship Type="http://schemas.openxmlformats.org/officeDocument/2006/relationships/hyperlink" Id="rId198" Target="ResultadoDiagn&#243;sticoSituaci&#243;nActual-1a.md" TargetMode="External" /><Relationship Type="http://schemas.openxmlformats.org/officeDocument/2006/relationships/hyperlink" Id="rId197"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0ad612982c80c4bc31d94a282dab75686c1dad5d" TargetMode="External" /><Relationship Type="http://schemas.openxmlformats.org/officeDocument/2006/relationships/hyperlink" Id="rId20" Target="https://hwong23.github.io/fna-devdoc-f3/v/0ad612982c80c4bc31d94a282dab75686c1dad5d/" TargetMode="External" /><Relationship Type="http://schemas.openxmlformats.org/officeDocument/2006/relationships/hyperlink" Id="rId2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195" Target="N003e.Cat&#225;logodeServicios.md" TargetMode="External" /><Relationship Type="http://schemas.openxmlformats.org/officeDocument/2006/relationships/hyperlink" Id="rId193" Target="N003e.Cat&#225;logodeServiciosFNA-1.md" TargetMode="External" /><Relationship Type="http://schemas.openxmlformats.org/officeDocument/2006/relationships/hyperlink" Id="rId194" Target="N003e.Cat&#225;logodeServiciosFNA-2.md" TargetMode="External" /><Relationship Type="http://schemas.openxmlformats.org/officeDocument/2006/relationships/hyperlink" Id="rId32" Target="N03a%a20Vsta%20aSegenta%20SOA%20FNA.md" TargetMode="External" /><Relationship Type="http://schemas.openxmlformats.org/officeDocument/2006/relationships/hyperlink" Id="rId200" Target="ResultadoDiagn&#243;sticoSituaci&#243;nActual-1" TargetMode="External" /><Relationship Type="http://schemas.openxmlformats.org/officeDocument/2006/relationships/hyperlink" Id="rId198" Target="ResultadoDiagn&#243;sticoSituaci&#243;nActual-1a.md" TargetMode="External" /><Relationship Type="http://schemas.openxmlformats.org/officeDocument/2006/relationships/hyperlink" Id="rId197"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0ad612982c80c4bc31d94a282dab75686c1dad5d" TargetMode="External" /><Relationship Type="http://schemas.openxmlformats.org/officeDocument/2006/relationships/hyperlink" Id="rId20" Target="https://hwong23.github.io/fna-devdoc-f3/v/0ad612982c80c4bc31d94a282dab75686c1dad5d/" TargetMode="External" /><Relationship Type="http://schemas.openxmlformats.org/officeDocument/2006/relationships/hyperlink" Id="rId2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2023-03-07T21:24:50Z</dcterms:created>
  <dcterms:modified xsi:type="dcterms:W3CDTF">2023-03-07T21:24:50Z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2023-03-07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