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6.png" ContentType="image/png"/>
  <Override PartName="/word/media/rId249.png" ContentType="image/png"/>
  <Override PartName="/word/media/rId253.png" ContentType="image/png"/>
  <Override PartName="/word/media/rId256.png" ContentType="image/png"/>
  <Override PartName="/word/media/rId259.png" ContentType="image/png"/>
  <Override PartName="/word/media/rId263.png" ContentType="image/png"/>
  <Override PartName="/word/media/rId267.png" ContentType="image/png"/>
  <Override PartName="/word/media/rId270.png" ContentType="image/png"/>
  <Override PartName="/word/media/rId273.png" ContentType="image/png"/>
  <Override PartName="/word/media/rId240.png" ContentType="image/png"/>
  <Override PartName="/word/media/rId243.png" ContentType="image/png"/>
  <Override PartName="/word/media/rId35.png" ContentType="image/png"/>
  <Override PartName="/word/media/rId56.png" ContentType="image/png"/>
  <Override PartName="/word/media/rId48.jpg" ContentType="image/jpeg"/>
  <Override PartName="/word/media/rId52.jpg" ContentType="image/jpeg"/>
  <Override PartName="/word/media/rId232.png" ContentType="image/png"/>
  <Override PartName="/word/media/rId189.png" ContentType="image/png"/>
  <Override PartName="/word/media/rId215.png" ContentType="image/png"/>
  <Override PartName="/word/media/rId197.png" ContentType="image/png"/>
  <Override PartName="/word/media/rId194.png" ContentType="image/png"/>
  <Override PartName="/word/media/rId208.png" ContentType="image/png"/>
  <Override PartName="/word/media/rId2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1454a33</w:t>
        </w:r>
      </w:hyperlink>
      <w:r>
        <w:t xml:space="preserve"> </w:t>
      </w:r>
      <w:r>
        <w:t xml:space="preserve">de August 31,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3"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1454a33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1454a33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1454a33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2"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1454a33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6"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bookmarkEnd w:id="142"/>
    <w:bookmarkStart w:id="143" w:name="impacto-beneficio-10"/>
    <w:p>
      <w:pPr>
        <w:pStyle w:val="Ttulo4"/>
      </w:pPr>
      <w:r>
        <w:t xml:space="preserve">Impacto / Beneficio</w:t>
      </w:r>
    </w:p>
    <w:p>
      <w:pPr>
        <w:numPr>
          <w:ilvl w:val="0"/>
          <w:numId w:val="1066"/>
        </w:numPr>
        <w:pStyle w:val="Compact"/>
      </w:pPr>
      <w:r>
        <w:t xml:space="preserve">Gestionar el conocimiento en arquitectura del FNA​</w:t>
      </w:r>
    </w:p>
    <w:p>
      <w:pPr>
        <w:numPr>
          <w:ilvl w:val="0"/>
          <w:numId w:val="1066"/>
        </w:numPr>
        <w:pStyle w:val="Compact"/>
      </w:pPr>
      <w:r>
        <w:t xml:space="preserve">Proveer enlace directo con los consultores en arquitectura​</w:t>
      </w:r>
    </w:p>
    <w:p>
      <w:pPr>
        <w:numPr>
          <w:ilvl w:val="0"/>
          <w:numId w:val="1066"/>
        </w:numPr>
        <w:pStyle w:val="Compact"/>
      </w:pPr>
      <w:r>
        <w:t xml:space="preserve">Gobernar la arquitectura de referencia de la organización​</w:t>
      </w:r>
    </w:p>
    <w:p>
      <w:pPr>
        <w:numPr>
          <w:ilvl w:val="0"/>
          <w:numId w:val="1066"/>
        </w:numPr>
        <w:pStyle w:val="Compact"/>
      </w:pPr>
      <w:r>
        <w:t xml:space="preserve">Dar garantía de la alineación de las soluciones con áreas de negocio</w:t>
      </w:r>
    </w:p>
    <w:bookmarkEnd w:id="143"/>
    <w:bookmarkStart w:id="144" w:name="alcance-9"/>
    <w:p>
      <w:pPr>
        <w:pStyle w:val="Ttulo4"/>
      </w:pPr>
      <w:r>
        <w:t xml:space="preserve">Alcance</w:t>
      </w:r>
    </w:p>
    <w:p>
      <w:pPr>
        <w:numPr>
          <w:ilvl w:val="0"/>
          <w:numId w:val="1067"/>
        </w:numPr>
        <w:pStyle w:val="Compact"/>
      </w:pPr>
      <w:r>
        <w:t xml:space="preserve">Definición de funciones y roles de los miembros de la oficina​</w:t>
      </w:r>
    </w:p>
    <w:p>
      <w:pPr>
        <w:numPr>
          <w:ilvl w:val="0"/>
          <w:numId w:val="1067"/>
        </w:numPr>
        <w:pStyle w:val="Compact"/>
      </w:pPr>
      <w:r>
        <w:t xml:space="preserve">Definir procesos y niveles de servicio de la oficina​</w:t>
      </w:r>
    </w:p>
    <w:p>
      <w:pPr>
        <w:numPr>
          <w:ilvl w:val="0"/>
          <w:numId w:val="1067"/>
        </w:numPr>
        <w:pStyle w:val="Compact"/>
      </w:pPr>
      <w:r>
        <w:t xml:space="preserve">Dar lanzamiento a la oficina​</w:t>
      </w:r>
    </w:p>
    <w:bookmarkEnd w:id="144"/>
    <w:bookmarkStart w:id="145" w:name="tecnología-8"/>
    <w:p>
      <w:pPr>
        <w:pStyle w:val="Ttulo4"/>
      </w:pPr>
      <w:r>
        <w:t xml:space="preserve">Tecnología</w:t>
      </w:r>
    </w:p>
    <w:p>
      <w:pPr>
        <w:numPr>
          <w:ilvl w:val="0"/>
          <w:numId w:val="1068"/>
        </w:numPr>
        <w:pStyle w:val="Compact"/>
      </w:pPr>
      <w:r>
        <w:t xml:space="preserve">Arquitectura de referencia</w:t>
      </w:r>
    </w:p>
    <w:p>
      <w:pPr>
        <w:numPr>
          <w:ilvl w:val="0"/>
          <w:numId w:val="1068"/>
        </w:numPr>
        <w:pStyle w:val="Compact"/>
      </w:pPr>
      <w:r>
        <w:t xml:space="preserve">Depósito de Arquitectura</w:t>
      </w:r>
    </w:p>
    <w:p>
      <w:pPr>
        <w:pStyle w:val="FirstParagraph"/>
      </w:pPr>
    </w:p>
    <w:bookmarkEnd w:id="145"/>
    <w:bookmarkEnd w:id="146"/>
    <w:bookmarkStart w:id="153" w:name="arquitectura-de-referencia-soa-2.0"/>
    <w:p>
      <w:pPr>
        <w:pStyle w:val="Ttulo3"/>
      </w:pPr>
      <w:r>
        <w:t xml:space="preserve">Arquitectura de referencia SOA 2.0</w:t>
      </w:r>
    </w:p>
    <w:bookmarkStart w:id="147"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7"/>
    <w:bookmarkStart w:id="148" w:name="oportunidades-retos-11"/>
    <w:p>
      <w:pPr>
        <w:pStyle w:val="Ttulo4"/>
      </w:pPr>
      <w:r>
        <w:t xml:space="preserve">Oportunidades / Retos</w:t>
      </w:r>
    </w:p>
    <w:p>
      <w:pPr>
        <w:numPr>
          <w:ilvl w:val="0"/>
          <w:numId w:val="1069"/>
        </w:numPr>
        <w:pStyle w:val="Compact"/>
      </w:pPr>
      <w:r>
        <w:t xml:space="preserve">Acelerar el desarrollo de las arquitecturas de solución​</w:t>
      </w:r>
    </w:p>
    <w:p>
      <w:pPr>
        <w:numPr>
          <w:ilvl w:val="0"/>
          <w:numId w:val="1069"/>
        </w:numPr>
        <w:pStyle w:val="Compact"/>
      </w:pPr>
      <w:r>
        <w:t xml:space="preserve">Unificar el vocabulario con las áreas de negocio y TI​</w:t>
      </w:r>
    </w:p>
    <w:p>
      <w:pPr>
        <w:numPr>
          <w:ilvl w:val="0"/>
          <w:numId w:val="1069"/>
        </w:numPr>
        <w:pStyle w:val="Compact"/>
      </w:pPr>
      <w:r>
        <w:t xml:space="preserve">Proveer soporte a los lineamientos y políticas de gobierno​ SOA/TI del Fondo</w:t>
      </w:r>
    </w:p>
    <w:p>
      <w:pPr>
        <w:numPr>
          <w:ilvl w:val="0"/>
          <w:numId w:val="1069"/>
        </w:numPr>
        <w:pStyle w:val="Compact"/>
      </w:pPr>
      <w:r>
        <w:t xml:space="preserve">Dirigir la transformación mediante transiciones de arquitectura</w:t>
      </w:r>
    </w:p>
    <w:p>
      <w:pPr>
        <w:numPr>
          <w:ilvl w:val="0"/>
          <w:numId w:val="1069"/>
        </w:numPr>
        <w:pStyle w:val="Compact"/>
      </w:pPr>
      <w:r>
        <w:t xml:space="preserve">Organizar el desarrollo de las arquitecturas de solución</w:t>
      </w:r>
    </w:p>
    <w:p>
      <w:pPr>
        <w:numPr>
          <w:ilvl w:val="0"/>
          <w:numId w:val="1069"/>
        </w:numPr>
        <w:pStyle w:val="Compact"/>
      </w:pPr>
      <w:r>
        <w:t xml:space="preserve">Fortalecer el diseño como gestor de arquitecturas y cambios</w:t>
      </w:r>
    </w:p>
    <w:p>
      <w:pPr>
        <w:numPr>
          <w:ilvl w:val="0"/>
          <w:numId w:val="1069"/>
        </w:numPr>
        <w:pStyle w:val="Compact"/>
      </w:pPr>
      <w:r>
        <w:t xml:space="preserve">Ejercer los lineamientos y políticas de gobierno​ SOA/TI del Fondo</w:t>
      </w:r>
    </w:p>
    <w:bookmarkEnd w:id="148"/>
    <w:bookmarkStart w:id="149" w:name="actores-11"/>
    <w:p>
      <w:pPr>
        <w:pStyle w:val="Ttulo4"/>
      </w:pPr>
      <w:r>
        <w:t xml:space="preserve">Actores</w:t>
      </w:r>
    </w:p>
    <w:p>
      <w:pPr>
        <w:numPr>
          <w:ilvl w:val="0"/>
          <w:numId w:val="1070"/>
        </w:numPr>
        <w:pStyle w:val="Compact"/>
      </w:pPr>
      <w:r>
        <w:t xml:space="preserve">Áreas de negocio críticas​</w:t>
      </w:r>
    </w:p>
    <w:p>
      <w:pPr>
        <w:numPr>
          <w:ilvl w:val="0"/>
          <w:numId w:val="1070"/>
        </w:numPr>
        <w:pStyle w:val="Compact"/>
      </w:pPr>
      <w:r>
        <w:t xml:space="preserve">Oficina de arquitectura FNA​</w:t>
      </w:r>
    </w:p>
    <w:p>
      <w:pPr>
        <w:numPr>
          <w:ilvl w:val="0"/>
          <w:numId w:val="1070"/>
        </w:numPr>
        <w:pStyle w:val="Compact"/>
      </w:pPr>
      <w:r>
        <w:t xml:space="preserve">Consultores y equipo de apoyo​</w:t>
      </w:r>
    </w:p>
    <w:bookmarkEnd w:id="149"/>
    <w:bookmarkStart w:id="150" w:name="impacto-beneficio-11"/>
    <w:p>
      <w:pPr>
        <w:pStyle w:val="Ttulo4"/>
      </w:pPr>
      <w:r>
        <w:t xml:space="preserve">Impacto / Beneficio</w:t>
      </w:r>
    </w:p>
    <w:p>
      <w:pPr>
        <w:numPr>
          <w:ilvl w:val="0"/>
          <w:numId w:val="1071"/>
        </w:numPr>
        <w:pStyle w:val="Compact"/>
      </w:pPr>
      <w:r>
        <w:t xml:space="preserve">Reducción en tiempos y costos asociados a las soluciones SOA​</w:t>
      </w:r>
    </w:p>
    <w:p>
      <w:pPr>
        <w:numPr>
          <w:ilvl w:val="0"/>
          <w:numId w:val="1071"/>
        </w:numPr>
        <w:pStyle w:val="Compact"/>
      </w:pPr>
      <w:r>
        <w:t xml:space="preserve">Mejora en la alineación entre negocio y TI​</w:t>
      </w:r>
    </w:p>
    <w:p>
      <w:pPr>
        <w:numPr>
          <w:ilvl w:val="0"/>
          <w:numId w:val="1071"/>
        </w:numPr>
        <w:pStyle w:val="Compact"/>
      </w:pPr>
      <w:r>
        <w:t xml:space="preserve">Mitigación de rotación del equipo de arquitectura​</w:t>
      </w:r>
    </w:p>
    <w:p>
      <w:pPr>
        <w:numPr>
          <w:ilvl w:val="0"/>
          <w:numId w:val="1071"/>
        </w:numPr>
        <w:pStyle w:val="Compact"/>
      </w:pPr>
      <w:r>
        <w:t xml:space="preserve">Visión global de soluciones de TI vs requisitos del negocio​</w:t>
      </w:r>
    </w:p>
    <w:bookmarkEnd w:id="150"/>
    <w:bookmarkStart w:id="151" w:name="alcance-10"/>
    <w:p>
      <w:pPr>
        <w:pStyle w:val="Ttulo4"/>
      </w:pPr>
      <w:r>
        <w:t xml:space="preserve">Alcance</w:t>
      </w:r>
    </w:p>
    <w:p>
      <w:pPr>
        <w:numPr>
          <w:ilvl w:val="0"/>
          <w:numId w:val="1072"/>
        </w:numPr>
        <w:pStyle w:val="Compact"/>
      </w:pPr>
      <w:r>
        <w:t xml:space="preserve">Diseño unificado de vistas funcional, despliegue, información, integración y tecnología​</w:t>
      </w:r>
    </w:p>
    <w:p>
      <w:pPr>
        <w:numPr>
          <w:ilvl w:val="0"/>
          <w:numId w:val="1072"/>
        </w:numPr>
        <w:pStyle w:val="Compact"/>
      </w:pPr>
      <w:r>
        <w:t xml:space="preserve">Modelado en lenguaje y herramienta de diseño del FNA​</w:t>
      </w:r>
    </w:p>
    <w:p>
      <w:pPr>
        <w:numPr>
          <w:ilvl w:val="0"/>
          <w:numId w:val="1072"/>
        </w:numPr>
        <w:pStyle w:val="Compact"/>
      </w:pPr>
      <w:r>
        <w:t xml:space="preserve">Crear y administrar las transiciones hacia la arquitectura versión 2.0</w:t>
      </w:r>
    </w:p>
    <w:p>
      <w:pPr>
        <w:numPr>
          <w:ilvl w:val="0"/>
          <w:numId w:val="1072"/>
        </w:numPr>
        <w:pStyle w:val="Compact"/>
      </w:pPr>
      <w:r>
        <w:t xml:space="preserve">Utilización del depósito de arquitectura institucional​</w:t>
      </w:r>
    </w:p>
    <w:p>
      <w:pPr>
        <w:numPr>
          <w:ilvl w:val="0"/>
          <w:numId w:val="1072"/>
        </w:numPr>
        <w:pStyle w:val="Compact"/>
      </w:pPr>
      <w:r>
        <w:t xml:space="preserve">Crear inventario de artefactos modelo-serie de aceleración de implementación</w:t>
      </w:r>
    </w:p>
    <w:bookmarkEnd w:id="151"/>
    <w:bookmarkStart w:id="152" w:name="tecnología-9"/>
    <w:p>
      <w:pPr>
        <w:pStyle w:val="Ttulo4"/>
      </w:pPr>
      <w:r>
        <w:t xml:space="preserve">Tecnología</w:t>
      </w:r>
    </w:p>
    <w:p>
      <w:pPr>
        <w:numPr>
          <w:ilvl w:val="0"/>
          <w:numId w:val="1073"/>
        </w:numPr>
        <w:pStyle w:val="Compact"/>
      </w:pPr>
      <w:r>
        <w:t xml:space="preserve">Depósito de Arquitectura</w:t>
      </w:r>
    </w:p>
    <w:p>
      <w:pPr>
        <w:numPr>
          <w:ilvl w:val="0"/>
          <w:numId w:val="1073"/>
        </w:numPr>
        <w:pStyle w:val="Compact"/>
      </w:pPr>
      <w:r>
        <w:t xml:space="preserve">Herramientas de modelado</w:t>
      </w:r>
    </w:p>
    <w:p>
      <w:pPr>
        <w:pStyle w:val="FirstParagraph"/>
      </w:pPr>
    </w:p>
    <w:bookmarkEnd w:id="152"/>
    <w:bookmarkEnd w:id="153"/>
    <w:bookmarkStart w:id="167" w:name="microservicios"/>
    <w:p>
      <w:pPr>
        <w:pStyle w:val="Ttulo3"/>
      </w:pPr>
      <w:r>
        <w:t xml:space="preserve">Microservicios</w:t>
      </w:r>
    </w:p>
    <w:bookmarkStart w:id="154"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4"/>
    <w:bookmarkStart w:id="155" w:name="oportunidades-retos-12"/>
    <w:p>
      <w:pPr>
        <w:pStyle w:val="Ttulo4"/>
      </w:pPr>
      <w:r>
        <w:t xml:space="preserve">Oportunidades / Retos</w:t>
      </w:r>
    </w:p>
    <w:p>
      <w:pPr>
        <w:numPr>
          <w:ilvl w:val="0"/>
          <w:numId w:val="1074"/>
        </w:numPr>
        <w:pStyle w:val="Compact"/>
      </w:pPr>
      <w:r>
        <w:t xml:space="preserve">Proponer esquemas de arquitectura desacopladas​</w:t>
      </w:r>
    </w:p>
    <w:p>
      <w:pPr>
        <w:numPr>
          <w:ilvl w:val="0"/>
          <w:numId w:val="1074"/>
        </w:numPr>
        <w:pStyle w:val="Compact"/>
      </w:pPr>
      <w:r>
        <w:t xml:space="preserve">Actualizar el portafolio de servicios con tecnologías actuales mediante un estilo de arquitectura orientada a microservicios​</w:t>
      </w:r>
    </w:p>
    <w:p>
      <w:pPr>
        <w:numPr>
          <w:ilvl w:val="0"/>
          <w:numId w:val="1074"/>
        </w:numPr>
        <w:pStyle w:val="Compact"/>
      </w:pPr>
      <w:r>
        <w:t xml:space="preserve">Agilidad en el desarrollo de soluciones ​</w:t>
      </w:r>
    </w:p>
    <w:bookmarkEnd w:id="155"/>
    <w:bookmarkStart w:id="156" w:name="actores-12"/>
    <w:p>
      <w:pPr>
        <w:pStyle w:val="Ttulo4"/>
      </w:pPr>
      <w:r>
        <w:t xml:space="preserve">Actores</w:t>
      </w:r>
    </w:p>
    <w:p>
      <w:pPr>
        <w:numPr>
          <w:ilvl w:val="0"/>
          <w:numId w:val="1075"/>
        </w:numPr>
        <w:pStyle w:val="Compact"/>
      </w:pPr>
      <w:r>
        <w:t xml:space="preserve">Oficina de arquitectura​</w:t>
      </w:r>
    </w:p>
    <w:p>
      <w:pPr>
        <w:numPr>
          <w:ilvl w:val="0"/>
          <w:numId w:val="1075"/>
        </w:numPr>
        <w:pStyle w:val="Compact"/>
      </w:pPr>
      <w:r>
        <w:t xml:space="preserve">Desarrollo / operaciones​</w:t>
      </w:r>
    </w:p>
    <w:p>
      <w:pPr>
        <w:numPr>
          <w:ilvl w:val="0"/>
          <w:numId w:val="1075"/>
        </w:numPr>
        <w:pStyle w:val="Compact"/>
      </w:pPr>
      <w:r>
        <w:t xml:space="preserve">Consultores SOA​</w:t>
      </w:r>
    </w:p>
    <w:bookmarkEnd w:id="156"/>
    <w:bookmarkStart w:id="157" w:name="impacto-beneficio-12"/>
    <w:p>
      <w:pPr>
        <w:pStyle w:val="Ttulo4"/>
      </w:pPr>
      <w:r>
        <w:t xml:space="preserve">Impacto / Beneficio</w:t>
      </w:r>
    </w:p>
    <w:p>
      <w:pPr>
        <w:numPr>
          <w:ilvl w:val="0"/>
          <w:numId w:val="1076"/>
        </w:numPr>
        <w:pStyle w:val="Compact"/>
      </w:pPr>
      <w:r>
        <w:t xml:space="preserve">Actualización tecnológica​</w:t>
      </w:r>
    </w:p>
    <w:p>
      <w:pPr>
        <w:numPr>
          <w:ilvl w:val="0"/>
          <w:numId w:val="1076"/>
        </w:numPr>
        <w:pStyle w:val="Compact"/>
      </w:pPr>
      <w:r>
        <w:t xml:space="preserve">Disminución en los costos y tiempos asociados al desarrollo de soluciones SOA​</w:t>
      </w:r>
    </w:p>
    <w:p>
      <w:pPr>
        <w:numPr>
          <w:ilvl w:val="0"/>
          <w:numId w:val="1076"/>
        </w:numPr>
        <w:pStyle w:val="Compact"/>
      </w:pPr>
      <w:r>
        <w:t xml:space="preserve">Modernización y utilización de los mecanismos de integración de servicios​</w:t>
      </w:r>
    </w:p>
    <w:bookmarkEnd w:id="157"/>
    <w:bookmarkStart w:id="158" w:name="alcance-11"/>
    <w:p>
      <w:pPr>
        <w:pStyle w:val="Ttulo4"/>
      </w:pPr>
      <w:r>
        <w:t xml:space="preserve">Alcance</w:t>
      </w:r>
    </w:p>
    <w:p>
      <w:pPr>
        <w:numPr>
          <w:ilvl w:val="0"/>
          <w:numId w:val="1077"/>
        </w:numPr>
        <w:pStyle w:val="Compact"/>
      </w:pPr>
      <w:r>
        <w:t xml:space="preserve">Revisión del proceso de desarrollo de software del FNA​</w:t>
      </w:r>
    </w:p>
    <w:p>
      <w:pPr>
        <w:numPr>
          <w:ilvl w:val="0"/>
          <w:numId w:val="1077"/>
        </w:numPr>
        <w:pStyle w:val="Compact"/>
      </w:pPr>
      <w:r>
        <w:t xml:space="preserve">Apropiación de técnicas de desarrollo ágil - DevOps​</w:t>
      </w:r>
    </w:p>
    <w:p>
      <w:pPr>
        <w:numPr>
          <w:ilvl w:val="0"/>
          <w:numId w:val="1077"/>
        </w:numPr>
        <w:pStyle w:val="Compact"/>
      </w:pPr>
      <w:r>
        <w:t xml:space="preserve">Metodologías de análisis, diseño e implementación orientadas a microservicios​</w:t>
      </w:r>
    </w:p>
    <w:p>
      <w:pPr>
        <w:numPr>
          <w:ilvl w:val="0"/>
          <w:numId w:val="1077"/>
        </w:numPr>
        <w:pStyle w:val="Compact"/>
      </w:pPr>
      <w:r>
        <w:t xml:space="preserve">Adecuación de la infraestructura para soportar los flujos de despliegue continuo / integración continua y desarrollo de Microservicios​</w:t>
      </w:r>
    </w:p>
    <w:bookmarkEnd w:id="158"/>
    <w:bookmarkStart w:id="159" w:name="tecnología-10"/>
    <w:p>
      <w:pPr>
        <w:pStyle w:val="Ttulo4"/>
      </w:pPr>
      <w:r>
        <w:t xml:space="preserve">Tecnología</w:t>
      </w:r>
    </w:p>
    <w:p>
      <w:pPr>
        <w:numPr>
          <w:ilvl w:val="0"/>
          <w:numId w:val="1078"/>
        </w:numPr>
        <w:pStyle w:val="Compact"/>
      </w:pPr>
      <w:r>
        <w:t xml:space="preserve">Herramientas de desarrollo</w:t>
      </w:r>
    </w:p>
    <w:p>
      <w:pPr>
        <w:numPr>
          <w:ilvl w:val="0"/>
          <w:numId w:val="1078"/>
        </w:numPr>
        <w:pStyle w:val="Compact"/>
      </w:pPr>
      <w:r>
        <w:t xml:space="preserve">Herramientas de despliegue continuo / IC</w:t>
      </w:r>
    </w:p>
    <w:p>
      <w:pPr>
        <w:numPr>
          <w:ilvl w:val="0"/>
          <w:numId w:val="1078"/>
        </w:numPr>
        <w:pStyle w:val="Compact"/>
      </w:pPr>
      <w:r>
        <w:t xml:space="preserve">Tecnologías cloud</w:t>
      </w:r>
    </w:p>
    <w:p>
      <w:pPr>
        <w:pStyle w:val="FirstParagraph"/>
      </w:pPr>
    </w:p>
    <w:bookmarkEnd w:id="159"/>
    <w:bookmarkStart w:id="160" w:name="portafolio-de-api"/>
    <w:p>
      <w:pPr>
        <w:pStyle w:val="Ttulo4"/>
      </w:pPr>
      <w:r>
        <w:t xml:space="preserve">Portafolio de API</w:t>
      </w:r>
    </w:p>
    <w:bookmarkEnd w:id="160"/>
    <w:bookmarkStart w:id="161"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1"/>
    <w:bookmarkStart w:id="162" w:name="oportunidades-retos-13"/>
    <w:p>
      <w:pPr>
        <w:pStyle w:val="Ttulo4"/>
      </w:pPr>
      <w:r>
        <w:t xml:space="preserve">Oportunidades / Retos</w:t>
      </w:r>
    </w:p>
    <w:p>
      <w:pPr>
        <w:numPr>
          <w:ilvl w:val="0"/>
          <w:numId w:val="1079"/>
        </w:numPr>
        <w:pStyle w:val="Compact"/>
      </w:pPr>
      <w:r>
        <w:t xml:space="preserve">Gestión y estructuración del portafolio de API del FNA​</w:t>
      </w:r>
    </w:p>
    <w:p>
      <w:pPr>
        <w:numPr>
          <w:ilvl w:val="0"/>
          <w:numId w:val="1079"/>
        </w:numPr>
        <w:pStyle w:val="Compact"/>
      </w:pPr>
      <w:r>
        <w:t xml:space="preserve">Definición de los contratos de las API, las tecnologías y los atributos de calidad de las API de la organización​</w:t>
      </w:r>
    </w:p>
    <w:bookmarkEnd w:id="162"/>
    <w:bookmarkStart w:id="163" w:name="actores-13"/>
    <w:p>
      <w:pPr>
        <w:pStyle w:val="Ttulo4"/>
      </w:pPr>
      <w:r>
        <w:t xml:space="preserve">Actores</w:t>
      </w:r>
    </w:p>
    <w:p>
      <w:pPr>
        <w:numPr>
          <w:ilvl w:val="0"/>
          <w:numId w:val="1080"/>
        </w:numPr>
        <w:pStyle w:val="Compact"/>
      </w:pPr>
      <w:r>
        <w:t xml:space="preserve">Unidades de negocio​</w:t>
      </w:r>
    </w:p>
    <w:p>
      <w:pPr>
        <w:numPr>
          <w:ilvl w:val="0"/>
          <w:numId w:val="1080"/>
        </w:numPr>
        <w:pStyle w:val="Compact"/>
      </w:pPr>
      <w:r>
        <w:t xml:space="preserve">Oficina de Arquitectura​</w:t>
      </w:r>
    </w:p>
    <w:p>
      <w:pPr>
        <w:numPr>
          <w:ilvl w:val="0"/>
          <w:numId w:val="1080"/>
        </w:numPr>
        <w:pStyle w:val="Compact"/>
      </w:pPr>
      <w:r>
        <w:t xml:space="preserve">Proveedores del FNA (Cobis, IBM, Oracle)​</w:t>
      </w:r>
    </w:p>
    <w:p>
      <w:pPr>
        <w:numPr>
          <w:ilvl w:val="0"/>
          <w:numId w:val="1080"/>
        </w:numPr>
        <w:pStyle w:val="Compact"/>
      </w:pPr>
      <w:r>
        <w:t xml:space="preserve">Consultores / fabricantes de apoyo​</w:t>
      </w:r>
    </w:p>
    <w:bookmarkEnd w:id="163"/>
    <w:bookmarkStart w:id="164" w:name="impacto-beneficio-13"/>
    <w:p>
      <w:pPr>
        <w:pStyle w:val="Ttulo4"/>
      </w:pPr>
      <w:r>
        <w:t xml:space="preserve">Impacto / Beneficio</w:t>
      </w:r>
    </w:p>
    <w:p>
      <w:pPr>
        <w:numPr>
          <w:ilvl w:val="0"/>
          <w:numId w:val="1081"/>
        </w:numPr>
        <w:pStyle w:val="Compact"/>
      </w:pPr>
      <w:r>
        <w:t xml:space="preserve">Mejorar el gobierno y las estrategias de evolución y mantenimiento de las API del FNA​</w:t>
      </w:r>
    </w:p>
    <w:p>
      <w:pPr>
        <w:numPr>
          <w:ilvl w:val="0"/>
          <w:numId w:val="1081"/>
        </w:numPr>
        <w:pStyle w:val="Compact"/>
      </w:pPr>
      <w:r>
        <w:t xml:space="preserve">Mayor control en el diseño, desarrollo y operación de las API​</w:t>
      </w:r>
    </w:p>
    <w:p>
      <w:pPr>
        <w:numPr>
          <w:ilvl w:val="0"/>
          <w:numId w:val="1081"/>
        </w:numPr>
        <w:pStyle w:val="Compact"/>
      </w:pPr>
      <w:r>
        <w:t xml:space="preserve">Punto único de búsqueda y localización de API y servicios en la organización​</w:t>
      </w:r>
    </w:p>
    <w:bookmarkEnd w:id="164"/>
    <w:bookmarkStart w:id="165" w:name="alcance-12"/>
    <w:p>
      <w:pPr>
        <w:pStyle w:val="Ttulo4"/>
      </w:pPr>
      <w:r>
        <w:t xml:space="preserve">Alcance</w:t>
      </w:r>
    </w:p>
    <w:p>
      <w:pPr>
        <w:numPr>
          <w:ilvl w:val="0"/>
          <w:numId w:val="1082"/>
        </w:numPr>
        <w:pStyle w:val="Compact"/>
      </w:pPr>
      <w:r>
        <w:t xml:space="preserve">Estructuración del portafolio, en API privadas, públicas y consorcio​</w:t>
      </w:r>
    </w:p>
    <w:p>
      <w:pPr>
        <w:numPr>
          <w:ilvl w:val="0"/>
          <w:numId w:val="1082"/>
        </w:numPr>
        <w:pStyle w:val="Compact"/>
      </w:pPr>
      <w:r>
        <w:t xml:space="preserve">Diseño de la estructura y organización de las API de la organización​</w:t>
      </w:r>
    </w:p>
    <w:p>
      <w:pPr>
        <w:numPr>
          <w:ilvl w:val="0"/>
          <w:numId w:val="1082"/>
        </w:numPr>
        <w:pStyle w:val="Compact"/>
      </w:pPr>
      <w:r>
        <w:t xml:space="preserve">Definición de lineamientos y políticas de uso de las API ​</w:t>
      </w:r>
    </w:p>
    <w:p>
      <w:pPr>
        <w:numPr>
          <w:ilvl w:val="0"/>
          <w:numId w:val="1082"/>
        </w:numPr>
        <w:pStyle w:val="Compact"/>
      </w:pPr>
      <w:r>
        <w:t xml:space="preserve">Tecnologías e infraestructura requeridas para el desarrollo, pruebas y operación de las diferentes API​</w:t>
      </w:r>
    </w:p>
    <w:bookmarkEnd w:id="165"/>
    <w:bookmarkStart w:id="166" w:name="tecnología-11"/>
    <w:p>
      <w:pPr>
        <w:pStyle w:val="Ttulo4"/>
      </w:pPr>
      <w:r>
        <w:t xml:space="preserve">Tecnología</w:t>
      </w:r>
    </w:p>
    <w:p>
      <w:pPr>
        <w:numPr>
          <w:ilvl w:val="0"/>
          <w:numId w:val="1083"/>
        </w:numPr>
        <w:pStyle w:val="Compact"/>
      </w:pPr>
      <w:r>
        <w:t xml:space="preserve">Portafolio de API</w:t>
      </w:r>
    </w:p>
    <w:p>
      <w:pPr>
        <w:numPr>
          <w:ilvl w:val="0"/>
          <w:numId w:val="1083"/>
        </w:numPr>
        <w:pStyle w:val="Compact"/>
      </w:pPr>
      <w:r>
        <w:t xml:space="preserve">Herramientas de diseño de API</w:t>
      </w:r>
    </w:p>
    <w:p>
      <w:pPr>
        <w:pStyle w:val="FirstParagraph"/>
      </w:pPr>
    </w:p>
    <w:bookmarkEnd w:id="166"/>
    <w:bookmarkEnd w:id="167"/>
    <w:bookmarkStart w:id="174" w:name="service-mesh"/>
    <w:p>
      <w:pPr>
        <w:pStyle w:val="Ttulo3"/>
      </w:pPr>
      <w:r>
        <w:t xml:space="preserve">Service Mesh</w:t>
      </w:r>
    </w:p>
    <w:bookmarkStart w:id="168"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8"/>
    <w:bookmarkStart w:id="169" w:name="oportunidades-retos-14"/>
    <w:p>
      <w:pPr>
        <w:pStyle w:val="Ttulo4"/>
      </w:pPr>
      <w:r>
        <w:t xml:space="preserve">Oportunidades / Retos</w:t>
      </w:r>
    </w:p>
    <w:p>
      <w:pPr>
        <w:numPr>
          <w:ilvl w:val="0"/>
          <w:numId w:val="1084"/>
        </w:numPr>
        <w:pStyle w:val="Compact"/>
      </w:pPr>
      <w:r>
        <w:t xml:space="preserve">Modernizar los mecanismos de orquestación de servicios​</w:t>
      </w:r>
    </w:p>
    <w:p>
      <w:pPr>
        <w:numPr>
          <w:ilvl w:val="0"/>
          <w:numId w:val="1084"/>
        </w:numPr>
        <w:pStyle w:val="Compact"/>
      </w:pPr>
      <w:r>
        <w:t xml:space="preserve">Proponer alternativas para el manejo de escalabilidad, seguridad y monitoreo de servicios​</w:t>
      </w:r>
    </w:p>
    <w:p>
      <w:pPr>
        <w:numPr>
          <w:ilvl w:val="0"/>
          <w:numId w:val="1084"/>
        </w:numPr>
        <w:pStyle w:val="Compact"/>
      </w:pPr>
      <w:r>
        <w:t xml:space="preserve">Proponer esquemas de operación de servicios orientados a la nube​</w:t>
      </w:r>
    </w:p>
    <w:bookmarkEnd w:id="169"/>
    <w:bookmarkStart w:id="170" w:name="actores-14"/>
    <w:p>
      <w:pPr>
        <w:pStyle w:val="Ttulo4"/>
      </w:pPr>
      <w:r>
        <w:t xml:space="preserve">Actores</w:t>
      </w:r>
    </w:p>
    <w:p>
      <w:pPr>
        <w:numPr>
          <w:ilvl w:val="0"/>
          <w:numId w:val="1085"/>
        </w:numPr>
        <w:pStyle w:val="Compact"/>
      </w:pPr>
      <w:r>
        <w:t xml:space="preserve">Oficina de Arquitectura FNA​</w:t>
      </w:r>
    </w:p>
    <w:p>
      <w:pPr>
        <w:numPr>
          <w:ilvl w:val="0"/>
          <w:numId w:val="1085"/>
        </w:numPr>
        <w:pStyle w:val="Compact"/>
      </w:pPr>
      <w:r>
        <w:t xml:space="preserve">Consultores de Apoyo​</w:t>
      </w:r>
    </w:p>
    <w:bookmarkEnd w:id="170"/>
    <w:bookmarkStart w:id="171" w:name="impacto-beneficio-14"/>
    <w:p>
      <w:pPr>
        <w:pStyle w:val="Ttulo4"/>
      </w:pPr>
      <w:r>
        <w:t xml:space="preserve">Impacto / Beneficio</w:t>
      </w:r>
    </w:p>
    <w:p>
      <w:pPr>
        <w:numPr>
          <w:ilvl w:val="0"/>
          <w:numId w:val="1086"/>
        </w:numPr>
        <w:pStyle w:val="Compact"/>
      </w:pPr>
      <w:r>
        <w:t xml:space="preserve">Apoyo a la estrategia de transición hacia microservicios​</w:t>
      </w:r>
    </w:p>
    <w:p>
      <w:pPr>
        <w:numPr>
          <w:ilvl w:val="0"/>
          <w:numId w:val="1086"/>
        </w:numPr>
        <w:pStyle w:val="Compact"/>
      </w:pPr>
      <w:r>
        <w:t xml:space="preserve">Mayor control y monitoreo de los microservicios​</w:t>
      </w:r>
    </w:p>
    <w:p>
      <w:pPr>
        <w:numPr>
          <w:ilvl w:val="0"/>
          <w:numId w:val="1086"/>
        </w:numPr>
        <w:pStyle w:val="Compact"/>
      </w:pPr>
      <w:r>
        <w:t xml:space="preserve">Posibilidad de un despliegue multi-cloud de los microservicios​</w:t>
      </w:r>
    </w:p>
    <w:p>
      <w:pPr>
        <w:numPr>
          <w:ilvl w:val="0"/>
          <w:numId w:val="1086"/>
        </w:numPr>
        <w:pStyle w:val="Compact"/>
      </w:pPr>
      <w:r>
        <w:t xml:space="preserve">Mejorar mecanismos de comunicación y control de los micro servicios​</w:t>
      </w:r>
    </w:p>
    <w:bookmarkEnd w:id="171"/>
    <w:bookmarkStart w:id="172" w:name="alcance-13"/>
    <w:p>
      <w:pPr>
        <w:pStyle w:val="Ttulo4"/>
      </w:pPr>
      <w:r>
        <w:t xml:space="preserve">Alcance</w:t>
      </w:r>
    </w:p>
    <w:p>
      <w:pPr>
        <w:numPr>
          <w:ilvl w:val="0"/>
          <w:numId w:val="1087"/>
        </w:numPr>
        <w:pStyle w:val="Compact"/>
      </w:pPr>
      <w:r>
        <w:t xml:space="preserve">Diseño de arquitectura ​</w:t>
      </w:r>
    </w:p>
    <w:p>
      <w:pPr>
        <w:numPr>
          <w:ilvl w:val="0"/>
          <w:numId w:val="1087"/>
        </w:numPr>
        <w:pStyle w:val="Compact"/>
      </w:pPr>
      <w:r>
        <w:t xml:space="preserve">Instalación de una herramienta que implemente el patrón service-mesh (Control Plan – Data plane)​</w:t>
      </w:r>
    </w:p>
    <w:p>
      <w:pPr>
        <w:numPr>
          <w:ilvl w:val="0"/>
          <w:numId w:val="1087"/>
        </w:numPr>
        <w:pStyle w:val="Compact"/>
      </w:pPr>
      <w:r>
        <w:t xml:space="preserve">Prueba piloto inicial con un subconjunto de servicios​</w:t>
      </w:r>
    </w:p>
    <w:p>
      <w:pPr>
        <w:numPr>
          <w:ilvl w:val="0"/>
          <w:numId w:val="1087"/>
        </w:numPr>
        <w:pStyle w:val="Compact"/>
      </w:pPr>
      <w:r>
        <w:t xml:space="preserve">Extensión de la prueba piloto a un proceso de misión crítica​</w:t>
      </w:r>
    </w:p>
    <w:bookmarkEnd w:id="172"/>
    <w:bookmarkStart w:id="173" w:name="tecnología-12"/>
    <w:p>
      <w:pPr>
        <w:pStyle w:val="Ttulo4"/>
      </w:pPr>
      <w:r>
        <w:t xml:space="preserve">Tecnología</w:t>
      </w:r>
    </w:p>
    <w:p>
      <w:pPr>
        <w:numPr>
          <w:ilvl w:val="0"/>
          <w:numId w:val="1088"/>
        </w:numPr>
        <w:pStyle w:val="Compact"/>
      </w:pPr>
      <w:r>
        <w:t xml:space="preserve">Implementación service Mesh: Istio, Amazon App Mesh, Meshery</w:t>
      </w:r>
    </w:p>
    <w:p>
      <w:pPr>
        <w:numPr>
          <w:ilvl w:val="0"/>
          <w:numId w:val="1088"/>
        </w:numPr>
        <w:pStyle w:val="Compact"/>
      </w:pPr>
      <w:r>
        <w:t xml:space="preserve">Kubernetes</w:t>
      </w:r>
    </w:p>
    <w:p>
      <w:pPr>
        <w:numPr>
          <w:ilvl w:val="0"/>
          <w:numId w:val="1088"/>
        </w:numPr>
        <w:pStyle w:val="Compact"/>
      </w:pPr>
      <w:r>
        <w:t xml:space="preserve">Docker</w:t>
      </w:r>
    </w:p>
    <w:p>
      <w:pPr>
        <w:pStyle w:val="FirstParagraph"/>
      </w:pPr>
    </w:p>
    <w:bookmarkEnd w:id="173"/>
    <w:bookmarkEnd w:id="174"/>
    <w:bookmarkStart w:id="181" w:name="plataforma-híbrida-de-integración"/>
    <w:p>
      <w:pPr>
        <w:pStyle w:val="Ttulo3"/>
      </w:pPr>
      <w:r>
        <w:t xml:space="preserve">Plataforma Híbrida de Integración</w:t>
      </w:r>
    </w:p>
    <w:bookmarkStart w:id="175"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5"/>
    <w:bookmarkStart w:id="176" w:name="oportunidades-retos-15"/>
    <w:p>
      <w:pPr>
        <w:pStyle w:val="Ttulo4"/>
      </w:pPr>
      <w:r>
        <w:t xml:space="preserve">Oportunidades / Retos</w:t>
      </w:r>
    </w:p>
    <w:p>
      <w:pPr>
        <w:numPr>
          <w:ilvl w:val="0"/>
          <w:numId w:val="1089"/>
        </w:numPr>
        <w:pStyle w:val="Compact"/>
      </w:pPr>
      <w:r>
        <w:t xml:space="preserve">Potencializar el uso de la tecnología de integración instalada (ESB y Mensajería)​</w:t>
      </w:r>
    </w:p>
    <w:p>
      <w:pPr>
        <w:numPr>
          <w:ilvl w:val="0"/>
          <w:numId w:val="1089"/>
        </w:numPr>
        <w:pStyle w:val="Compact"/>
      </w:pPr>
      <w:r>
        <w:t xml:space="preserve">Modernizar los esquemas de integración de la organización con esquemas híbridos (síncronos y asíncronos)​</w:t>
      </w:r>
    </w:p>
    <w:p>
      <w:pPr>
        <w:numPr>
          <w:ilvl w:val="0"/>
          <w:numId w:val="1089"/>
        </w:numPr>
        <w:pStyle w:val="Compact"/>
      </w:pPr>
      <w:r>
        <w:t xml:space="preserve">Propender por arquitecturas orientadas a eventos​</w:t>
      </w:r>
    </w:p>
    <w:bookmarkEnd w:id="176"/>
    <w:bookmarkStart w:id="177" w:name="actores-15"/>
    <w:p>
      <w:pPr>
        <w:pStyle w:val="Ttulo4"/>
      </w:pPr>
      <w:r>
        <w:t xml:space="preserve">Actores</w:t>
      </w:r>
    </w:p>
    <w:p>
      <w:pPr>
        <w:numPr>
          <w:ilvl w:val="0"/>
          <w:numId w:val="1090"/>
        </w:numPr>
        <w:pStyle w:val="Compact"/>
      </w:pPr>
      <w:r>
        <w:t xml:space="preserve">Encargados de infraestructura y operaciones​</w:t>
      </w:r>
    </w:p>
    <w:p>
      <w:pPr>
        <w:numPr>
          <w:ilvl w:val="0"/>
          <w:numId w:val="1090"/>
        </w:numPr>
        <w:pStyle w:val="Compact"/>
      </w:pPr>
      <w:r>
        <w:t xml:space="preserve">Oficina Arquitectura de FNA​</w:t>
      </w:r>
    </w:p>
    <w:p>
      <w:pPr>
        <w:numPr>
          <w:ilvl w:val="0"/>
          <w:numId w:val="1090"/>
        </w:numPr>
        <w:pStyle w:val="Compact"/>
      </w:pPr>
      <w:r>
        <w:t xml:space="preserve">Consultores de apoyo​</w:t>
      </w:r>
    </w:p>
    <w:bookmarkEnd w:id="177"/>
    <w:bookmarkStart w:id="178" w:name="impacto-beneficio-15"/>
    <w:p>
      <w:pPr>
        <w:pStyle w:val="Ttulo4"/>
      </w:pPr>
      <w:r>
        <w:t xml:space="preserve">Impacto / Beneficio</w:t>
      </w:r>
    </w:p>
    <w:p>
      <w:pPr>
        <w:numPr>
          <w:ilvl w:val="0"/>
          <w:numId w:val="1091"/>
        </w:numPr>
        <w:pStyle w:val="Compact"/>
      </w:pPr>
      <w:r>
        <w:t xml:space="preserve">Disminución de la complejidad asociada a la orquestación de servicios​</w:t>
      </w:r>
    </w:p>
    <w:p>
      <w:pPr>
        <w:numPr>
          <w:ilvl w:val="0"/>
          <w:numId w:val="1091"/>
        </w:numPr>
        <w:pStyle w:val="Compact"/>
      </w:pPr>
      <w:r>
        <w:t xml:space="preserve">Desacoplamiento de las soluciones y servicios del ecosistema de servicios de la organización​</w:t>
      </w:r>
    </w:p>
    <w:p>
      <w:pPr>
        <w:numPr>
          <w:ilvl w:val="0"/>
          <w:numId w:val="1091"/>
        </w:numPr>
        <w:pStyle w:val="Compact"/>
      </w:pPr>
      <w:r>
        <w:t xml:space="preserve">Menor dependencia del bus de servicios​</w:t>
      </w:r>
    </w:p>
    <w:bookmarkEnd w:id="178"/>
    <w:bookmarkStart w:id="179" w:name="alcance-14"/>
    <w:p>
      <w:pPr>
        <w:pStyle w:val="Ttulo4"/>
      </w:pPr>
      <w:r>
        <w:t xml:space="preserve">Alcance</w:t>
      </w:r>
    </w:p>
    <w:p>
      <w:pPr>
        <w:numPr>
          <w:ilvl w:val="0"/>
          <w:numId w:val="1092"/>
        </w:numPr>
        <w:pStyle w:val="Compact"/>
      </w:pPr>
      <w:r>
        <w:t xml:space="preserve">Diseño de arquitectura​</w:t>
      </w:r>
    </w:p>
    <w:p>
      <w:pPr>
        <w:numPr>
          <w:ilvl w:val="0"/>
          <w:numId w:val="1092"/>
        </w:numPr>
        <w:pStyle w:val="Compact"/>
      </w:pPr>
      <w:r>
        <w:t xml:space="preserve">Prueba piloto con orquestación y coreografía​</w:t>
      </w:r>
    </w:p>
    <w:p>
      <w:pPr>
        <w:numPr>
          <w:ilvl w:val="0"/>
          <w:numId w:val="1092"/>
        </w:numPr>
        <w:pStyle w:val="Compact"/>
      </w:pPr>
      <w:r>
        <w:t xml:space="preserve">Extensión de la prueba a un proceso misional​</w:t>
      </w:r>
    </w:p>
    <w:bookmarkEnd w:id="179"/>
    <w:bookmarkStart w:id="180" w:name="tecnología-13"/>
    <w:p>
      <w:pPr>
        <w:pStyle w:val="Ttulo4"/>
      </w:pPr>
      <w:r>
        <w:t xml:space="preserve">Tecnología</w:t>
      </w:r>
    </w:p>
    <w:p>
      <w:pPr>
        <w:numPr>
          <w:ilvl w:val="0"/>
          <w:numId w:val="1093"/>
        </w:numPr>
        <w:pStyle w:val="Compact"/>
      </w:pPr>
      <w:r>
        <w:t xml:space="preserve">ESB</w:t>
      </w:r>
    </w:p>
    <w:p>
      <w:pPr>
        <w:numPr>
          <w:ilvl w:val="0"/>
          <w:numId w:val="1093"/>
        </w:numPr>
        <w:pStyle w:val="Compact"/>
      </w:pPr>
      <w:r>
        <w:t xml:space="preserve">Plataforma de Mensajería</w:t>
      </w:r>
    </w:p>
    <w:p>
      <w:pPr>
        <w:pStyle w:val="FirstParagraph"/>
      </w:pPr>
    </w:p>
    <w:bookmarkEnd w:id="180"/>
    <w:bookmarkEnd w:id="181"/>
    <w:bookmarkEnd w:id="182"/>
    <w:bookmarkEnd w:id="183"/>
    <w:bookmarkStart w:id="184" w:name="fase-3-soa-objetivo-1"/>
    <w:p>
      <w:pPr>
        <w:pStyle w:val="Ttulo1"/>
      </w:pPr>
      <w:r>
        <w:t xml:space="preserve">Fase 3: SOA Objetivo</w:t>
      </w:r>
    </w:p>
    <w:bookmarkEnd w:id="184"/>
    <w:bookmarkStart w:id="185" w:name="X5c0c69e660e78a6abcb50f83e9ffaa519594cea"/>
    <w:p>
      <w:pPr>
        <w:pStyle w:val="Ttulo1"/>
      </w:pPr>
      <w:r>
        <w:t xml:space="preserve">Contenido de los Productos Contractuales, 181-2020</w:t>
      </w:r>
    </w:p>
    <w:bookmarkEnd w:id="185"/>
    <w:bookmarkStart w:id="278"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6"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6"/>
    <w:bookmarkStart w:id="187" w:name="contenidos-1"/>
    <w:p>
      <w:pPr>
        <w:pStyle w:val="Ttulo2"/>
      </w:pPr>
      <w:r>
        <w:t xml:space="preserve">Contenidos</w:t>
      </w:r>
    </w:p>
    <w:p>
      <w:pPr>
        <w:numPr>
          <w:ilvl w:val="0"/>
          <w:numId w:val="1094"/>
        </w:numPr>
        <w:pStyle w:val="Compact"/>
      </w:pPr>
      <w:r>
        <w:t xml:space="preserve">Hoja de ruta de los proyectos de cambio</w:t>
      </w:r>
    </w:p>
    <w:p>
      <w:pPr>
        <w:numPr>
          <w:ilvl w:val="0"/>
          <w:numId w:val="1094"/>
        </w:numPr>
        <w:pStyle w:val="Compact"/>
      </w:pPr>
      <w:r>
        <w:t xml:space="preserve">Estimaciones y análisis de impacto y dependencia entre los cambios en el segmento de la empresa</w:t>
      </w:r>
    </w:p>
    <w:p>
      <w:pPr>
        <w:numPr>
          <w:ilvl w:val="0"/>
          <w:numId w:val="1094"/>
        </w:numPr>
        <w:pStyle w:val="Compact"/>
      </w:pPr>
      <w:r>
        <w:t xml:space="preserve">Consideraciones para la ejecución de los primeros cambios</w:t>
      </w:r>
    </w:p>
    <w:p>
      <w:pPr>
        <w:numPr>
          <w:ilvl w:val="0"/>
          <w:numId w:val="1094"/>
        </w:numPr>
        <w:pStyle w:val="Compact"/>
      </w:pPr>
      <w:r>
        <w:t xml:space="preserve">Puntos de control en la ejecución de la hoja de ruta SOA</w:t>
      </w:r>
    </w:p>
    <w:p>
      <w:pPr>
        <w:pStyle w:val="FirstParagraph"/>
      </w:pPr>
    </w:p>
    <w:bookmarkEnd w:id="187"/>
    <w:bookmarkStart w:id="188" w:name="criterios-de-aceptación-1"/>
    <w:p>
      <w:pPr>
        <w:pStyle w:val="Ttulo2"/>
      </w:pPr>
      <w:r>
        <w:t xml:space="preserve">Criterios de Aceptación</w:t>
      </w:r>
    </w:p>
    <w:p>
      <w:pPr>
        <w:numPr>
          <w:ilvl w:val="0"/>
          <w:numId w:val="1095"/>
        </w:numPr>
        <w:pStyle w:val="Compact"/>
      </w:pPr>
      <w:r>
        <w:t xml:space="preserve">Lista de cambios para el segmento FNA: ítems incluídos, por mejorar, nuevos y eliminados</w:t>
      </w:r>
    </w:p>
    <w:p>
      <w:pPr>
        <w:numPr>
          <w:ilvl w:val="0"/>
          <w:numId w:val="1095"/>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1454a33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8"/>
    <w:bookmarkStart w:id="192"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90" name="Picture"/>
            <a:graphic>
              <a:graphicData uri="http://schemas.openxmlformats.org/drawingml/2006/picture">
                <pic:pic>
                  <pic:nvPicPr>
                    <pic:cNvPr descr="images/hojaruta1.png" id="191" name="Picture"/>
                    <pic:cNvPicPr>
                      <a:picLocks noChangeArrowheads="1" noChangeAspect="1"/>
                    </pic:cNvPicPr>
                  </pic:nvPicPr>
                  <pic:blipFill>
                    <a:blip r:embed="rId189"/>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2"/>
    <w:bookmarkStart w:id="193"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3"/>
    <w:bookmarkStart w:id="200"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5" name="Picture"/>
            <a:graphic>
              <a:graphicData uri="http://schemas.openxmlformats.org/drawingml/2006/picture">
                <pic:pic>
                  <pic:nvPicPr>
                    <pic:cNvPr descr="images/vistaevolucion.png" id="196" name="Picture"/>
                    <pic:cNvPicPr>
                      <a:picLocks noChangeArrowheads="1" noChangeAspect="1"/>
                    </pic:cNvPicPr>
                  </pic:nvPicPr>
                  <pic:blipFill>
                    <a:blip r:embed="rId194"/>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8" name="Picture"/>
            <a:graphic>
              <a:graphicData uri="http://schemas.openxmlformats.org/drawingml/2006/picture">
                <pic:pic>
                  <pic:nvPicPr>
                    <pic:cNvPr descr="images/vistaevolarquitectura.png" id="199" name="Picture"/>
                    <pic:cNvPicPr>
                      <a:picLocks noChangeArrowheads="1" noChangeAspect="1"/>
                    </pic:cNvPicPr>
                  </pic:nvPicPr>
                  <pic:blipFill>
                    <a:blip r:embed="rId197"/>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200"/>
    <w:bookmarkStart w:id="204"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2" name="Picture"/>
            <a:graphic>
              <a:graphicData uri="http://schemas.openxmlformats.org/drawingml/2006/picture">
                <pic:pic>
                  <pic:nvPicPr>
                    <pic:cNvPr descr="images/vistaitemsarq.png" id="203" name="Picture"/>
                    <pic:cNvPicPr>
                      <a:picLocks noChangeArrowheads="1" noChangeAspect="1"/>
                    </pic:cNvPicPr>
                  </pic:nvPicPr>
                  <pic:blipFill>
                    <a:blip r:embed="rId201"/>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4"/>
    <w:bookmarkStart w:id="207" w:name="equipo-base-del-proyecto"/>
    <w:p>
      <w:pPr>
        <w:pStyle w:val="Ttulo2"/>
      </w:pPr>
      <w:r>
        <w:t xml:space="preserve">Equipo Base del Proyecto</w:t>
      </w:r>
    </w:p>
    <w:p>
      <w:pPr>
        <w:pStyle w:val="FirstParagraph"/>
      </w:pPr>
      <w:r>
        <w:t xml:space="preserve">Organizado por proyecto.</w:t>
      </w:r>
    </w:p>
    <w:bookmarkStart w:id="205"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5"/>
    <w:bookmarkStart w:id="206"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6"/>
    <w:bookmarkEnd w:id="207"/>
    <w:bookmarkStart w:id="211"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9" name="Picture"/>
            <a:graphic>
              <a:graphicData uri="http://schemas.openxmlformats.org/drawingml/2006/picture">
                <pic:pic>
                  <pic:nvPicPr>
                    <pic:cNvPr descr="images/vistaimplementacion.png" id="210" name="Picture"/>
                    <pic:cNvPicPr>
                      <a:picLocks noChangeArrowheads="1" noChangeAspect="1"/>
                    </pic:cNvPicPr>
                  </pic:nvPicPr>
                  <pic:blipFill>
                    <a:blip r:embed="rId208"/>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1"/>
    <w:bookmarkStart w:id="212"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2"/>
    <w:bookmarkStart w:id="213" w:name="costo-beneficio-aproximado"/>
    <w:p>
      <w:pPr>
        <w:pStyle w:val="Ttulo2"/>
      </w:pPr>
      <w:r>
        <w:t xml:space="preserve">Costo Beneficio (aproximado)</w:t>
      </w:r>
    </w:p>
    <w:p>
      <w:pPr>
        <w:pStyle w:val="FirstParagraph"/>
      </w:pPr>
      <w:r>
        <w:t xml:space="preserve">…</w:t>
      </w:r>
    </w:p>
    <w:p>
      <w:pPr>
        <w:pStyle w:val="Textoindependiente"/>
      </w:pPr>
    </w:p>
    <w:bookmarkEnd w:id="213"/>
    <w:bookmarkStart w:id="214" w:name="consideraciones"/>
    <w:p>
      <w:pPr>
        <w:pStyle w:val="Ttulo2"/>
      </w:pPr>
      <w:r>
        <w:t xml:space="preserve">Consideraciones</w:t>
      </w:r>
    </w:p>
    <w:p>
      <w:pPr>
        <w:pStyle w:val="FirstParagraph"/>
      </w:pPr>
      <w:r>
        <w:t xml:space="preserve">…</w:t>
      </w:r>
    </w:p>
    <w:bookmarkEnd w:id="214"/>
    <w:bookmarkStart w:id="218" w:name="X3e5c6ef72c682473ee3f54882a0f30e89d1196f"/>
    <w:p>
      <w:pPr>
        <w:pStyle w:val="Ttulo2"/>
      </w:pPr>
      <w:r>
        <w:t xml:space="preserve">Resumen de Problemáticas del Diagnóstivo de Madurez SOA del FNA</w:t>
      </w:r>
    </w:p>
    <w:p>
      <w:pPr>
        <w:numPr>
          <w:ilvl w:val="0"/>
          <w:numId w:val="1096"/>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6"/>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6"/>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6"/>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6" name="Picture"/>
            <a:graphic>
              <a:graphicData uri="http://schemas.openxmlformats.org/drawingml/2006/picture">
                <pic:pic>
                  <pic:nvPicPr>
                    <pic:cNvPr descr="images/madurezInfo_graf.png" id="217" name="Picture"/>
                    <pic:cNvPicPr>
                      <a:picLocks noChangeArrowheads="1" noChangeAspect="1"/>
                    </pic:cNvPicPr>
                  </pic:nvPicPr>
                  <pic:blipFill>
                    <a:blip r:embed="rId215"/>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6"/>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6"/>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6"/>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8"/>
    <w:bookmarkStart w:id="222" w:name="análisis-de-las-fortalezas-soa-del-fna"/>
    <w:p>
      <w:pPr>
        <w:pStyle w:val="Ttulo2"/>
      </w:pPr>
      <w:r>
        <w:t xml:space="preserve">Análisis de las Fortalezas SOA del FNA</w:t>
      </w:r>
    </w:p>
    <w:p>
      <w:pPr>
        <w:numPr>
          <w:ilvl w:val="0"/>
          <w:numId w:val="1097"/>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7"/>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9">
        <w:r>
          <w:rPr>
            <w:rStyle w:val="Hipervnculo"/>
          </w:rPr>
          <w:t xml:space="preserve">N003e. Catálogo de Servicios FNA-1</w:t>
        </w:r>
      </w:hyperlink>
      <w:r>
        <w:t xml:space="preserve">, y</w:t>
      </w:r>
      <w:r>
        <w:t xml:space="preserve"> </w:t>
      </w:r>
      <w:hyperlink r:id="rId220">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7"/>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20">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7"/>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1">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7"/>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2"/>
    <w:bookmarkStart w:id="225"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3">
        <w:r>
          <w:rPr>
            <w:rStyle w:val="Hipervnculo"/>
          </w:rPr>
          <w:t xml:space="preserve">Resultado Diagnóstico Situación Actual-3</w:t>
        </w:r>
      </w:hyperlink>
      <w:r>
        <w:t xml:space="preserve">, la prevalencia del enfoque ascendente, esto es desde el provedor hacia el negocio</w:t>
      </w:r>
      <w:r>
        <w:t xml:space="preserve"> </w:t>
      </w:r>
      <w:hyperlink r:id="rId224">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5"/>
    <w:bookmarkStart w:id="227"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6">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7"/>
    <w:bookmarkStart w:id="228"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8"/>
    <w:bookmarkStart w:id="229"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9"/>
    <w:bookmarkStart w:id="230"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8"/>
        </w:numPr>
        <w:pStyle w:val="Compact"/>
      </w:pPr>
      <w:r>
        <w:t xml:space="preserve">Redundancias y el atraso de la información de los modelos y conceptos.</w:t>
      </w:r>
    </w:p>
    <w:p>
      <w:pPr>
        <w:numPr>
          <w:ilvl w:val="0"/>
          <w:numId w:val="1098"/>
        </w:numPr>
        <w:pStyle w:val="Compact"/>
      </w:pPr>
      <w:r>
        <w:t xml:space="preserve">Incompletitud en el modelamiento de conceptos, como las capacidades de negocio, o los procesos de negocio del FNA.</w:t>
      </w:r>
    </w:p>
    <w:p>
      <w:pPr>
        <w:numPr>
          <w:ilvl w:val="0"/>
          <w:numId w:val="1098"/>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1454a33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30"/>
    <w:bookmarkStart w:id="23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1"/>
    <w:bookmarkStart w:id="235"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3" name="Picture"/>
            <a:graphic>
              <a:graphicData uri="http://schemas.openxmlformats.org/drawingml/2006/picture">
                <pic:pic>
                  <pic:nvPicPr>
                    <pic:cNvPr descr="images/equipo-gob.png" id="234" name="Picture"/>
                    <pic:cNvPicPr>
                      <a:picLocks noChangeArrowheads="1" noChangeAspect="1"/>
                    </pic:cNvPicPr>
                  </pic:nvPicPr>
                  <pic:blipFill>
                    <a:blip r:embed="rId23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5"/>
    <w:bookmarkStart w:id="236"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6"/>
    <w:bookmarkStart w:id="237"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7"/>
    <w:bookmarkStart w:id="238"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8"/>
    <w:bookmarkEnd w:id="239"/>
    <w:bookmarkStart w:id="27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1" name="Picture"/>
            <a:graphic>
              <a:graphicData uri="http://schemas.openxmlformats.org/drawingml/2006/picture">
                <pic:pic>
                  <pic:nvPicPr>
                    <pic:cNvPr descr="./images/media/image8.png" id="242" name="Picture"/>
                    <pic:cNvPicPr>
                      <a:picLocks noChangeArrowheads="1" noChangeAspect="1"/>
                    </pic:cNvPicPr>
                  </pic:nvPicPr>
                  <pic:blipFill>
                    <a:blip r:embed="rId24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4" name="Picture"/>
            <a:graphic>
              <a:graphicData uri="http://schemas.openxmlformats.org/drawingml/2006/picture">
                <pic:pic>
                  <pic:nvPicPr>
                    <pic:cNvPr descr="./images/media/image9.png" id="245" name="Picture"/>
                    <pic:cNvPicPr>
                      <a:picLocks noChangeArrowheads="1" noChangeAspect="1"/>
                    </pic:cNvPicPr>
                  </pic:nvPicPr>
                  <pic:blipFill>
                    <a:blip r:embed="rId24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7" name="Picture"/>
            <a:graphic>
              <a:graphicData uri="http://schemas.openxmlformats.org/drawingml/2006/picture">
                <pic:pic>
                  <pic:nvPicPr>
                    <pic:cNvPr descr="./images/media/image10.png" id="248" name="Picture"/>
                    <pic:cNvPicPr>
                      <a:picLocks noChangeArrowheads="1" noChangeAspect="1"/>
                    </pic:cNvPicPr>
                  </pic:nvPicPr>
                  <pic:blipFill>
                    <a:blip r:embed="rId24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50" name="Picture"/>
            <a:graphic>
              <a:graphicData uri="http://schemas.openxmlformats.org/drawingml/2006/picture">
                <pic:pic>
                  <pic:nvPicPr>
                    <pic:cNvPr descr="./images/media/image11.png" id="251" name="Picture"/>
                    <pic:cNvPicPr>
                      <a:picLocks noChangeArrowheads="1" noChangeAspect="1"/>
                    </pic:cNvPicPr>
                  </pic:nvPicPr>
                  <pic:blipFill>
                    <a:blip r:embed="rId24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2"/>
    <w:bookmarkStart w:id="262"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4" name="Picture"/>
            <a:graphic>
              <a:graphicData uri="http://schemas.openxmlformats.org/drawingml/2006/picture">
                <pic:pic>
                  <pic:nvPicPr>
                    <pic:cNvPr descr="./images/media/image12.png" id="255" name="Picture"/>
                    <pic:cNvPicPr>
                      <a:picLocks noChangeArrowheads="1" noChangeAspect="1"/>
                    </pic:cNvPicPr>
                  </pic:nvPicPr>
                  <pic:blipFill>
                    <a:blip r:embed="rId25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7" name="Picture"/>
            <a:graphic>
              <a:graphicData uri="http://schemas.openxmlformats.org/drawingml/2006/picture">
                <pic:pic>
                  <pic:nvPicPr>
                    <pic:cNvPr descr="./images/media/image13.png" id="258" name="Picture"/>
                    <pic:cNvPicPr>
                      <a:picLocks noChangeArrowheads="1" noChangeAspect="1"/>
                    </pic:cNvPicPr>
                  </pic:nvPicPr>
                  <pic:blipFill>
                    <a:blip r:embed="rId25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60" name="Picture"/>
            <a:graphic>
              <a:graphicData uri="http://schemas.openxmlformats.org/drawingml/2006/picture">
                <pic:pic>
                  <pic:nvPicPr>
                    <pic:cNvPr descr="./images/media/image14.png" id="261" name="Picture"/>
                    <pic:cNvPicPr>
                      <a:picLocks noChangeArrowheads="1" noChangeAspect="1"/>
                    </pic:cNvPicPr>
                  </pic:nvPicPr>
                  <pic:blipFill>
                    <a:blip r:embed="rId25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2"/>
    <w:bookmarkStart w:id="26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4" name="Picture"/>
            <a:graphic>
              <a:graphicData uri="http://schemas.openxmlformats.org/drawingml/2006/picture">
                <pic:pic>
                  <pic:nvPicPr>
                    <pic:cNvPr descr="./images/media/image15.png" id="265" name="Picture"/>
                    <pic:cNvPicPr>
                      <a:picLocks noChangeArrowheads="1" noChangeAspect="1"/>
                    </pic:cNvPicPr>
                  </pic:nvPicPr>
                  <pic:blipFill>
                    <a:blip r:embed="rId26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6"/>
    <w:bookmarkStart w:id="27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8" name="Picture"/>
            <a:graphic>
              <a:graphicData uri="http://schemas.openxmlformats.org/drawingml/2006/picture">
                <pic:pic>
                  <pic:nvPicPr>
                    <pic:cNvPr descr="./images/media/image16.png" id="269" name="Picture"/>
                    <pic:cNvPicPr>
                      <a:picLocks noChangeArrowheads="1" noChangeAspect="1"/>
                    </pic:cNvPicPr>
                  </pic:nvPicPr>
                  <pic:blipFill>
                    <a:blip r:embed="rId26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1" name="Picture"/>
            <a:graphic>
              <a:graphicData uri="http://schemas.openxmlformats.org/drawingml/2006/picture">
                <pic:pic>
                  <pic:nvPicPr>
                    <pic:cNvPr descr="./images/media/image17.png" id="272" name="Picture"/>
                    <pic:cNvPicPr>
                      <a:picLocks noChangeArrowheads="1" noChangeAspect="1"/>
                    </pic:cNvPicPr>
                  </pic:nvPicPr>
                  <pic:blipFill>
                    <a:blip r:embed="rId27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4" name="Picture"/>
            <a:graphic>
              <a:graphicData uri="http://schemas.openxmlformats.org/drawingml/2006/picture">
                <pic:pic>
                  <pic:nvPicPr>
                    <pic:cNvPr descr="./images/media/image18.png" id="275" name="Picture"/>
                    <pic:cNvPicPr>
                      <a:picLocks noChangeArrowheads="1" noChangeAspect="1"/>
                    </pic:cNvPicPr>
                  </pic:nvPicPr>
                  <pic:blipFill>
                    <a:blip r:embed="rId27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6"/>
    <w:bookmarkEnd w:id="277"/>
    <w:bookmarkEnd w:id="2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2" Target="media/rId232.png" /><Relationship Type="http://schemas.openxmlformats.org/officeDocument/2006/relationships/image" Id="rId189" Target="media/rId189.png" /><Relationship Type="http://schemas.openxmlformats.org/officeDocument/2006/relationships/image" Id="rId215" Target="media/rId215.png" /><Relationship Type="http://schemas.openxmlformats.org/officeDocument/2006/relationships/image" Id="rId197" Target="media/rId197.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01" Target="media/rId201.png" /><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1454a334670860856444753e7adbc63ec499b46c" TargetMode="External" /><Relationship Type="http://schemas.openxmlformats.org/officeDocument/2006/relationships/hyperlink" Id="rId20" Target="https://hwong23.github.io/fna-devdoc-f3/v/1454a334670860856444753e7adbc63ec499b46c/"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1454a334670860856444753e7adbc63ec499b46c" TargetMode="External" /><Relationship Type="http://schemas.openxmlformats.org/officeDocument/2006/relationships/hyperlink" Id="rId20" Target="https://hwong23.github.io/fna-devdoc-f3/v/1454a334670860856444753e7adbc63ec499b46c/"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2023-08-31T15:41:32Z</dcterms:created>
  <dcterms:modified xsi:type="dcterms:W3CDTF">2023-08-31T15:41:32Z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