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48.jpg" ContentType="image/jpeg"/>
  <Override PartName="/word/media/rId7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3267ee0</w:t>
        </w:r>
      </w:hyperlink>
      <w:r>
        <w:t xml:space="preserve"> </w:t>
      </w:r>
      <w:r>
        <w:t xml:space="preserve">de February 23,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64"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3267ee0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3267ee0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47"/>
    <w:bookmarkStart w:id="51"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49" name="Picture"/>
            <a:graphic>
              <a:graphicData uri="http://schemas.openxmlformats.org/drawingml/2006/picture">
                <pic:pic>
                  <pic:nvPicPr>
                    <pic:cNvPr descr="images/brechaESBFNA.jpg" id="50" name="Picture"/>
                    <pic:cNvPicPr>
                      <a:picLocks noChangeArrowheads="1" noChangeAspect="1"/>
                    </pic:cNvPicPr>
                  </pic:nvPicPr>
                  <pic:blipFill>
                    <a:blip r:embed="rId48"/>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3267ee0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1"/>
    <w:bookmarkStart w:id="55"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54" w:name="lista-de-proyectos-de-cierre-de-brechas"/>
    <w:p>
      <w:pPr>
        <w:pStyle w:val="Ttulo3"/>
      </w:pPr>
      <w:r>
        <w:t xml:space="preserve">Lista de Proyectos de Cierre de Brechas</w:t>
      </w:r>
    </w:p>
    <w:bookmarkStart w:id="52" w:name="crédito-constructor-fna"/>
    <w:p>
      <w:pPr>
        <w:pStyle w:val="Ttulo4"/>
      </w:pPr>
      <w:r>
        <w:t xml:space="preserve">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52"/>
    <w:bookmarkStart w:id="53"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rPr>
          <w:bCs/>
          <w:b/>
        </w:rPr>
        <w:t xml:space="preserve">Depend</w:t>
      </w:r>
      <w:r>
        <w:t xml:space="preserve"> </w:t>
      </w:r>
      <w:r>
        <w:t xml:space="preserve">|</w:t>
      </w:r>
      <w:r>
        <w:t xml:space="preserve"> </w:t>
      </w:r>
      <w:r>
        <w:t xml:space="preserve">|——-|—————————————–|————–|—————|———–|—————–|</w:t>
      </w:r>
      <w:r>
        <w:t xml:space="preserve"> </w:t>
      </w:r>
      <w:r>
        <w:t xml:space="preserve">|BR010 | Estandarización de Integración |Disminuir los adaptadores particulares. Reemplazarlos por exposición (y gestión) de API| regresivo | sustitución | BR02 |</w:t>
      </w:r>
      <w:r>
        <w:t xml:space="preserve"> </w:t>
      </w:r>
      <w:r>
        <w:t xml:space="preserve">|BR011 | Servicios de negocio y recomposición |Agregar servicios de negocio a la capa de negocio del ESB. Rediseño de las composiciones de servicios que reflejen el flujo de las transacciones de negocio | incremental | actualizacion | BR02 |</w:t>
      </w:r>
    </w:p>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3267ee0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3"/>
    <w:bookmarkEnd w:id="54"/>
    <w:bookmarkEnd w:id="55"/>
    <w:bookmarkStart w:id="63" w:name="X54007cf0797a6e78c220bae78905261e750ce13"/>
    <w:p>
      <w:pPr>
        <w:pStyle w:val="Ttulo2"/>
      </w:pPr>
      <w:r>
        <w:t xml:space="preserve">Ficha Descriptiva de Proyectos para el Segmento FNA</w:t>
      </w:r>
    </w:p>
    <w:bookmarkStart w:id="62" w:name="br01.-api-crédito-constructor"/>
    <w:p>
      <w:pPr>
        <w:pStyle w:val="Ttulo3"/>
      </w:pPr>
      <w:r>
        <w:t xml:space="preserve">BR01. API Crédito Constructor</w:t>
      </w:r>
    </w:p>
    <w:bookmarkStart w:id="56" w:name="objetivo"/>
    <w:p>
      <w:pPr>
        <w:pStyle w:val="Ttulo4"/>
      </w:pPr>
      <w:r>
        <w:t xml:space="preserve">Objetivo</w:t>
      </w:r>
    </w:p>
    <w:p>
      <w:pPr>
        <w:pStyle w:val="FirstParagraph"/>
      </w:pPr>
      <w:r>
        <w:t xml:space="preserve">Actualizar las interfaces de ejecución y exposición de funcionalidades (API) de Crédito Constructor.</w:t>
      </w:r>
    </w:p>
    <w:bookmarkEnd w:id="56"/>
    <w:bookmarkStart w:id="57"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7"/>
    <w:bookmarkStart w:id="58"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8"/>
    <w:bookmarkStart w:id="59" w:name="impacto-beneficio"/>
    <w:p>
      <w:pPr>
        <w:pStyle w:val="Ttulo4"/>
      </w:pPr>
      <w:r>
        <w:t xml:space="preserve">Impacto / Beneficio</w:t>
      </w:r>
    </w:p>
    <w:p>
      <w:pPr>
        <w:numPr>
          <w:ilvl w:val="0"/>
          <w:numId w:val="1007"/>
        </w:numPr>
        <w:pStyle w:val="Compact"/>
      </w:pPr>
      <w:r>
        <w:t xml:space="preserve">Proteger de impacto por cambios en C. Constructor a los consumidores y aplicaciones clientes del producto</w:t>
      </w:r>
    </w:p>
    <w:p>
      <w:pPr>
        <w:numPr>
          <w:ilvl w:val="0"/>
          <w:numId w:val="1007"/>
        </w:numPr>
        <w:pStyle w:val="Compact"/>
      </w:pPr>
      <w:r>
        <w:t xml:space="preserve">Flexibilidad de modificación de las funcionalidades principales de C. Constructor</w:t>
      </w:r>
    </w:p>
    <w:p>
      <w:pPr>
        <w:numPr>
          <w:ilvl w:val="0"/>
          <w:numId w:val="1007"/>
        </w:numPr>
        <w:pStyle w:val="Compact"/>
      </w:pPr>
      <w:r>
        <w:t xml:space="preserve">Modernización de tecnología del producto C. Constructor</w:t>
      </w:r>
    </w:p>
    <w:bookmarkEnd w:id="59"/>
    <w:bookmarkStart w:id="60"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60"/>
    <w:bookmarkStart w:id="61"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bookmarkEnd w:id="61"/>
    <w:bookmarkEnd w:id="62"/>
    <w:bookmarkEnd w:id="63"/>
    <w:bookmarkEnd w:id="64"/>
    <w:bookmarkStart w:id="65" w:name="fase-3-soa-objetivo-1"/>
    <w:p>
      <w:pPr>
        <w:pStyle w:val="Ttulo1"/>
      </w:pPr>
      <w:r>
        <w:t xml:space="preserve">Fase 3: SOA Objetivo</w:t>
      </w:r>
    </w:p>
    <w:bookmarkEnd w:id="65"/>
    <w:bookmarkStart w:id="66" w:name="X5c0c69e660e78a6abcb50f83e9ffaa519594cea"/>
    <w:p>
      <w:pPr>
        <w:pStyle w:val="Ttulo1"/>
      </w:pPr>
      <w:r>
        <w:t xml:space="preserve">Contenido de los Productos Contractuales, 181-2020</w:t>
      </w:r>
    </w:p>
    <w:bookmarkEnd w:id="66"/>
    <w:bookmarkStart w:id="86"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7"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67"/>
    <w:bookmarkStart w:id="68" w:name="contenidos-1"/>
    <w:p>
      <w:pPr>
        <w:pStyle w:val="Ttulo2"/>
      </w:pPr>
      <w:r>
        <w:t xml:space="preserve">Contenidos</w:t>
      </w:r>
    </w:p>
    <w:p>
      <w:pPr>
        <w:numPr>
          <w:ilvl w:val="0"/>
          <w:numId w:val="1010"/>
        </w:numPr>
        <w:pStyle w:val="Compact"/>
      </w:pPr>
      <w:r>
        <w:t xml:space="preserve">Hoja de ruta de los proyectos de cambio</w:t>
      </w:r>
    </w:p>
    <w:p>
      <w:pPr>
        <w:numPr>
          <w:ilvl w:val="0"/>
          <w:numId w:val="1010"/>
        </w:numPr>
        <w:pStyle w:val="Compact"/>
      </w:pPr>
      <w:r>
        <w:t xml:space="preserve">Estimaciones y análisis de impacto y dependencia entre los cambios en el segmento de la empresa</w:t>
      </w:r>
    </w:p>
    <w:p>
      <w:pPr>
        <w:numPr>
          <w:ilvl w:val="0"/>
          <w:numId w:val="1010"/>
        </w:numPr>
        <w:pStyle w:val="Compact"/>
      </w:pPr>
      <w:r>
        <w:t xml:space="preserve">Consideraciones para la ejecución de los primeros cambios</w:t>
      </w:r>
    </w:p>
    <w:p>
      <w:pPr>
        <w:numPr>
          <w:ilvl w:val="0"/>
          <w:numId w:val="1010"/>
        </w:numPr>
        <w:pStyle w:val="Compact"/>
      </w:pPr>
      <w:r>
        <w:t xml:space="preserve">Puntos de control en la ejecución de la hoja de ruta SOA</w:t>
      </w:r>
    </w:p>
    <w:p>
      <w:pPr>
        <w:pStyle w:val="FirstParagraph"/>
      </w:pPr>
    </w:p>
    <w:bookmarkEnd w:id="68"/>
    <w:bookmarkStart w:id="69" w:name="criterios-de-aceptación-1"/>
    <w:p>
      <w:pPr>
        <w:pStyle w:val="Ttulo2"/>
      </w:pPr>
      <w:r>
        <w:t xml:space="preserve">Criterios de Aceptación</w:t>
      </w:r>
    </w:p>
    <w:p>
      <w:pPr>
        <w:numPr>
          <w:ilvl w:val="0"/>
          <w:numId w:val="1011"/>
        </w:numPr>
        <w:pStyle w:val="Compact"/>
      </w:pPr>
      <w:r>
        <w:t xml:space="preserve">Lista de cambios para el segmento FNA: ítems incluídos, por mejorar, nuevos y eliminados</w:t>
      </w:r>
    </w:p>
    <w:p>
      <w:pPr>
        <w:numPr>
          <w:ilvl w:val="0"/>
          <w:numId w:val="1011"/>
        </w:numPr>
        <w:pStyle w:val="Compact"/>
      </w:pPr>
      <w:r>
        <w:t xml:space="preserve">Hoja de ruta preliminar hacia un objetivo de mejora</w:t>
      </w:r>
    </w:p>
    <w:p>
      <w:r>
        <w:pict>
          <v:rect style="width:0;height:1.5pt" o:hralign="center" o:hrstd="t" o:hr="t"/>
        </w:pict>
      </w:r>
    </w:p>
    <w:bookmarkEnd w:id="69"/>
    <w:bookmarkStart w:id="73" w:name="X3e5c6ef72c682473ee3f54882a0f30e89d1196f"/>
    <w:p>
      <w:pPr>
        <w:pStyle w:val="Ttulo2"/>
      </w:pPr>
      <w:r>
        <w:t xml:space="preserve">Resumen de Problemáticas del Diagnóstivo de Madurez SOA del FNA</w:t>
      </w:r>
    </w:p>
    <w:p>
      <w:pPr>
        <w:numPr>
          <w:ilvl w:val="0"/>
          <w:numId w:val="1012"/>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2"/>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2"/>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2"/>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71" name="Picture"/>
            <a:graphic>
              <a:graphicData uri="http://schemas.openxmlformats.org/drawingml/2006/picture">
                <pic:pic>
                  <pic:nvPicPr>
                    <pic:cNvPr descr="images/madurezInfo_graf.png" id="72" name="Picture"/>
                    <pic:cNvPicPr>
                      <a:picLocks noChangeArrowheads="1" noChangeAspect="1"/>
                    </pic:cNvPicPr>
                  </pic:nvPicPr>
                  <pic:blipFill>
                    <a:blip r:embed="rId7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2"/>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2"/>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2"/>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73"/>
    <w:bookmarkStart w:id="77" w:name="análisis-de-las-fortalezas-soa-del-fna"/>
    <w:p>
      <w:pPr>
        <w:pStyle w:val="Ttulo2"/>
      </w:pPr>
      <w:r>
        <w:t xml:space="preserve">Análisis de las Fortalezas SOA del FNA</w:t>
      </w:r>
    </w:p>
    <w:p>
      <w:pPr>
        <w:numPr>
          <w:ilvl w:val="0"/>
          <w:numId w:val="1013"/>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3"/>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74">
        <w:r>
          <w:rPr>
            <w:rStyle w:val="Hipervnculo"/>
          </w:rPr>
          <w:t xml:space="preserve">N003e. Catálogo de Servicios FNA-1</w:t>
        </w:r>
      </w:hyperlink>
      <w:r>
        <w:t xml:space="preserve">, y</w:t>
      </w:r>
      <w:r>
        <w:t xml:space="preserve"> </w:t>
      </w:r>
      <w:hyperlink r:id="rId75">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3"/>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75">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3"/>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76">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3"/>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77"/>
    <w:bookmarkStart w:id="80"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78">
        <w:r>
          <w:rPr>
            <w:rStyle w:val="Hipervnculo"/>
          </w:rPr>
          <w:t xml:space="preserve">Resultado Diagnóstico Situación Actual-3</w:t>
        </w:r>
      </w:hyperlink>
      <w:r>
        <w:t xml:space="preserve">, la prevalencia del enfoque ascendente, esto es desde el provedor hacia el negocio</w:t>
      </w:r>
      <w:r>
        <w:t xml:space="preserve"> </w:t>
      </w:r>
      <w:hyperlink r:id="rId79">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80"/>
    <w:bookmarkStart w:id="82"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81">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82"/>
    <w:bookmarkStart w:id="83"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83"/>
    <w:bookmarkStart w:id="84"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84"/>
    <w:bookmarkStart w:id="85"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4"/>
        </w:numPr>
        <w:pStyle w:val="Compact"/>
      </w:pPr>
      <w:r>
        <w:t xml:space="preserve">Redundancias y el atraso de la información de los modelos y conceptos.</w:t>
      </w:r>
    </w:p>
    <w:p>
      <w:pPr>
        <w:numPr>
          <w:ilvl w:val="0"/>
          <w:numId w:val="1014"/>
        </w:numPr>
        <w:pStyle w:val="Compact"/>
      </w:pPr>
      <w:r>
        <w:t xml:space="preserve">Incompletitud en el modelamiento de conceptos, como las capacidades de negocio, o los procesos de negocio del FNA.</w:t>
      </w:r>
    </w:p>
    <w:p>
      <w:pPr>
        <w:numPr>
          <w:ilvl w:val="0"/>
          <w:numId w:val="1014"/>
        </w:numPr>
        <w:pStyle w:val="Compact"/>
      </w:pPr>
      <w:r>
        <w:t xml:space="preserve">Inconsistencia en el lenguaje de modelado. Falta estandarizar nombres y formas de representación de los mismo conceptos entre modelos.</w:t>
      </w:r>
    </w:p>
    <w:bookmarkEnd w:id="85"/>
    <w:bookmarkEnd w:id="8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70" Target="media/rId70.png" /><Relationship Type="http://schemas.openxmlformats.org/officeDocument/2006/relationships/hyperlink" Id="rId39" Target="" TargetMode="External" /><Relationship Type="http://schemas.openxmlformats.org/officeDocument/2006/relationships/hyperlink" Id="rId76" Target="N003e.Cat&#225;logodeServicios.md" TargetMode="External" /><Relationship Type="http://schemas.openxmlformats.org/officeDocument/2006/relationships/hyperlink" Id="rId74" Target="N003e.Cat&#225;logodeServiciosFNA-1.md" TargetMode="External" /><Relationship Type="http://schemas.openxmlformats.org/officeDocument/2006/relationships/hyperlink" Id="rId75"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81" Target="ResultadoDiagn&#243;sticoSituaci&#243;nActual-1" TargetMode="External" /><Relationship Type="http://schemas.openxmlformats.org/officeDocument/2006/relationships/hyperlink" Id="rId79" Target="ResultadoDiagn&#243;sticoSituaci&#243;nActual-1a.md" TargetMode="External" /><Relationship Type="http://schemas.openxmlformats.org/officeDocument/2006/relationships/hyperlink" Id="rId78"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3267ee01b641d16b30e500ced8502227824daa1a" TargetMode="External" /><Relationship Type="http://schemas.openxmlformats.org/officeDocument/2006/relationships/hyperlink" Id="rId20" Target="https://hwong23.github.io/fna-devdoc-f3/v/3267ee01b641d16b30e500ced8502227824daa1a/"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76" Target="N003e.Cat&#225;logodeServicios.md" TargetMode="External" /><Relationship Type="http://schemas.openxmlformats.org/officeDocument/2006/relationships/hyperlink" Id="rId74" Target="N003e.Cat&#225;logodeServiciosFNA-1.md" TargetMode="External" /><Relationship Type="http://schemas.openxmlformats.org/officeDocument/2006/relationships/hyperlink" Id="rId75"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81" Target="ResultadoDiagn&#243;sticoSituaci&#243;nActual-1" TargetMode="External" /><Relationship Type="http://schemas.openxmlformats.org/officeDocument/2006/relationships/hyperlink" Id="rId79" Target="ResultadoDiagn&#243;sticoSituaci&#243;nActual-1a.md" TargetMode="External" /><Relationship Type="http://schemas.openxmlformats.org/officeDocument/2006/relationships/hyperlink" Id="rId78"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3267ee01b641d16b30e500ced8502227824daa1a" TargetMode="External" /><Relationship Type="http://schemas.openxmlformats.org/officeDocument/2006/relationships/hyperlink" Id="rId20" Target="https://hwong23.github.io/fna-devdoc-f3/v/3267ee01b641d16b30e500ced8502227824daa1a/"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2023-02-23T18:24:45Z</dcterms:created>
  <dcterms:modified xsi:type="dcterms:W3CDTF">2023-02-23T18:24:45Z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