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9.jpg" ContentType="image/jpeg"/>
  <Override PartName="/word/media/rId53.jpg" ContentType="image/jpeg"/>
  <Override PartName="/word/media/rId9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48ebe6e</w:t>
        </w:r>
      </w:hyperlink>
      <w:r>
        <w:t xml:space="preserve"> </w:t>
      </w:r>
      <w:r>
        <w:t xml:space="preserve">de February 27,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89"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7" w:name="análisis-de-brechas-del-fna.-iniciativas"/>
    <w:p>
      <w:pPr>
        <w:pStyle w:val="Ttulo2"/>
      </w:pPr>
      <w:r>
        <w:t xml:space="preserve">Análisis de Brechas del FNA. Iniciativas</w:t>
      </w:r>
    </w:p>
    <w:bookmarkStart w:id="43"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3"/>
    <w:bookmarkStart w:id="44"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4"/>
    <w:bookmarkStart w:id="45"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5"/>
    <w:bookmarkStart w:id="46"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6"/>
    <w:bookmarkEnd w:id="47"/>
    <w:bookmarkStart w:id="48"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8"/>
    <w:bookmarkStart w:id="52"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50" name="Picture"/>
            <a:graphic>
              <a:graphicData uri="http://schemas.openxmlformats.org/drawingml/2006/picture">
                <pic:pic>
                  <pic:nvPicPr>
                    <pic:cNvPr descr="images/brechaCreditoCostructor.jpg" id="51" name="Picture"/>
                    <pic:cNvPicPr>
                      <a:picLocks noChangeArrowheads="1" noChangeAspect="1"/>
                    </pic:cNvPicPr>
                  </pic:nvPicPr>
                  <pic:blipFill>
                    <a:blip r:embed="rId49"/>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2"/>
    <w:bookmarkStart w:id="56"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4" name="Picture"/>
            <a:graphic>
              <a:graphicData uri="http://schemas.openxmlformats.org/drawingml/2006/picture">
                <pic:pic>
                  <pic:nvPicPr>
                    <pic:cNvPr descr="images/brechaESBFNA.jpg" id="55" name="Picture"/>
                    <pic:cNvPicPr>
                      <a:picLocks noChangeArrowheads="1" noChangeAspect="1"/>
                    </pic:cNvPicPr>
                  </pic:nvPicPr>
                  <pic:blipFill>
                    <a:blip r:embed="rId53"/>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56"/>
    <w:bookmarkStart w:id="88"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57"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57"/>
    <w:bookmarkStart w:id="63" w:name="prioridades-de-aprovechamiento"/>
    <w:p>
      <w:pPr>
        <w:pStyle w:val="Ttulo3"/>
      </w:pPr>
      <w:r>
        <w:t xml:space="preserve">Prioridades de Aprovechamiento</w:t>
      </w:r>
    </w:p>
    <w:bookmarkStart w:id="58"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58"/>
    <w:bookmarkStart w:id="59"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59"/>
    <w:bookmarkStart w:id="60"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0"/>
    <w:bookmarkStart w:id="61" w:name="prioridad-media---baja"/>
    <w:p>
      <w:pPr>
        <w:pStyle w:val="Ttulo4"/>
      </w:pPr>
      <w:r>
        <w:t xml:space="preserve">Prioridad Media - Baja</w:t>
      </w:r>
    </w:p>
    <w:p>
      <w:pPr>
        <w:numPr>
          <w:ilvl w:val="0"/>
          <w:numId w:val="1013"/>
        </w:numPr>
        <w:pStyle w:val="Compact"/>
      </w:pPr>
      <w:r>
        <w:t xml:space="preserve">N/A</w:t>
      </w:r>
    </w:p>
    <w:bookmarkEnd w:id="61"/>
    <w:bookmarkStart w:id="62" w:name="prioridad-baja"/>
    <w:p>
      <w:pPr>
        <w:pStyle w:val="Ttulo4"/>
      </w:pPr>
      <w:r>
        <w:t xml:space="preserve">Prioridad Baja</w:t>
      </w:r>
    </w:p>
    <w:p>
      <w:pPr>
        <w:numPr>
          <w:ilvl w:val="0"/>
          <w:numId w:val="1014"/>
        </w:numPr>
        <w:pStyle w:val="Compact"/>
      </w:pPr>
      <w:r>
        <w:t xml:space="preserve">N/A</w:t>
      </w:r>
    </w:p>
    <w:p>
      <w:pPr>
        <w:pStyle w:val="FirstParagraph"/>
      </w:pPr>
    </w:p>
    <w:bookmarkEnd w:id="62"/>
    <w:bookmarkEnd w:id="63"/>
    <w:bookmarkStart w:id="66"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bookmarkStart w:id="64"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4"/>
    <w:bookmarkStart w:id="65"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3">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65"/>
    <w:bookmarkEnd w:id="66"/>
    <w:bookmarkStart w:id="73" w:name="br01.-api-crédito-constructor"/>
    <w:p>
      <w:pPr>
        <w:pStyle w:val="Ttulo3"/>
      </w:pPr>
      <w:r>
        <w:t xml:space="preserve">BR01. API Crédito Constructor</w:t>
      </w:r>
    </w:p>
    <w:bookmarkStart w:id="67" w:name="objetivo"/>
    <w:p>
      <w:pPr>
        <w:pStyle w:val="Ttulo4"/>
      </w:pPr>
      <w:r>
        <w:t xml:space="preserve">Objetivo</w:t>
      </w:r>
    </w:p>
    <w:p>
      <w:pPr>
        <w:pStyle w:val="FirstParagraph"/>
      </w:pPr>
      <w:r>
        <w:t xml:space="preserve">Actualizar las interfaces de ejecución y exposición de funcionalidades (API) de Crédito Constructor.</w:t>
      </w:r>
    </w:p>
    <w:bookmarkEnd w:id="67"/>
    <w:bookmarkStart w:id="68"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68"/>
    <w:bookmarkStart w:id="69"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69"/>
    <w:bookmarkStart w:id="70"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0"/>
    <w:bookmarkStart w:id="71"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1"/>
    <w:bookmarkStart w:id="72"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2"/>
    <w:bookmarkEnd w:id="73"/>
    <w:bookmarkStart w:id="80" w:name="X9629b74e4a54b1bf8534ec8b990febb57c5cdc6"/>
    <w:p>
      <w:pPr>
        <w:pStyle w:val="Ttulo3"/>
      </w:pPr>
      <w:r>
        <w:t xml:space="preserve">BR010. Estandarización de Integración ESB FNA</w:t>
      </w:r>
    </w:p>
    <w:bookmarkStart w:id="74" w:name="objetivo-1"/>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74"/>
    <w:bookmarkStart w:id="75" w:name="oportunidades-retos-1"/>
    <w:p>
      <w:pPr>
        <w:pStyle w:val="Ttulo4"/>
      </w:pPr>
      <w:r>
        <w:t xml:space="preserve">Oportunidades / Retos</w:t>
      </w:r>
    </w:p>
    <w:p>
      <w:pPr>
        <w:numPr>
          <w:ilvl w:val="0"/>
          <w:numId w:val="1020"/>
        </w:numPr>
        <w:pStyle w:val="Compact"/>
      </w:pPr>
      <w:r>
        <w:t xml:space="preserve">Incluir formas de integración más flexibles y cercanas a lo funcional vía API, granulares, reutilizables y mediadas por niveles de exposición (privadas, protegidas y públicas)</w:t>
      </w:r>
    </w:p>
    <w:p>
      <w:pPr>
        <w:numPr>
          <w:ilvl w:val="0"/>
          <w:numId w:val="1020"/>
        </w:numPr>
        <w:pStyle w:val="Compact"/>
      </w:pPr>
      <w:r>
        <w:t xml:space="preserve">Migrar la integración entre aplicaciones hacia la exposición de funcionalidades independientes de la aplicación (API)</w:t>
      </w:r>
    </w:p>
    <w:p>
      <w:pPr>
        <w:numPr>
          <w:ilvl w:val="0"/>
          <w:numId w:val="1020"/>
        </w:numPr>
        <w:pStyle w:val="Compact"/>
      </w:pPr>
      <w:r>
        <w:t xml:space="preserve">Estandarizar el modelo de integración e intercambio de datos</w:t>
      </w:r>
    </w:p>
    <w:bookmarkEnd w:id="75"/>
    <w:bookmarkStart w:id="76" w:name="alcance-1"/>
    <w:p>
      <w:pPr>
        <w:pStyle w:val="Ttulo4"/>
      </w:pPr>
      <w:r>
        <w:t xml:space="preserve">Alcance</w:t>
      </w:r>
    </w:p>
    <w:p>
      <w:pPr>
        <w:numPr>
          <w:ilvl w:val="0"/>
          <w:numId w:val="1021"/>
        </w:numPr>
        <w:pStyle w:val="Compact"/>
      </w:pPr>
      <w:r>
        <w:t xml:space="preserve">Estructurar e implementar funcionalidades del producto en forma de operaciones y datos expuestos (API)</w:t>
      </w:r>
    </w:p>
    <w:p>
      <w:pPr>
        <w:numPr>
          <w:ilvl w:val="0"/>
          <w:numId w:val="1021"/>
        </w:numPr>
        <w:pStyle w:val="Compact"/>
      </w:pPr>
      <w:r>
        <w:t xml:space="preserve">Establecer los nuevos consumidores de las API del producto</w:t>
      </w:r>
    </w:p>
    <w:p>
      <w:pPr>
        <w:numPr>
          <w:ilvl w:val="0"/>
          <w:numId w:val="1021"/>
        </w:numPr>
        <w:pStyle w:val="Compact"/>
      </w:pPr>
      <w:r>
        <w:t xml:space="preserve">Actualizar y modificar a los consumidores actuales (redirección)</w:t>
      </w:r>
    </w:p>
    <w:bookmarkEnd w:id="76"/>
    <w:bookmarkStart w:id="77" w:name="impacto-beneficio-1"/>
    <w:p>
      <w:pPr>
        <w:pStyle w:val="Ttulo4"/>
      </w:pPr>
      <w:r>
        <w:t xml:space="preserve">Impacto / Beneficio</w:t>
      </w:r>
    </w:p>
    <w:p>
      <w:pPr>
        <w:numPr>
          <w:ilvl w:val="0"/>
          <w:numId w:val="1022"/>
        </w:numPr>
        <w:pStyle w:val="Compact"/>
      </w:pPr>
      <w:r>
        <w:t xml:space="preserve">Proteger de impacto por cambios en C. Constructor a los consumidores y aplicaciones clientes del producto</w:t>
      </w:r>
    </w:p>
    <w:p>
      <w:pPr>
        <w:numPr>
          <w:ilvl w:val="0"/>
          <w:numId w:val="1022"/>
        </w:numPr>
        <w:pStyle w:val="Compact"/>
      </w:pPr>
      <w:r>
        <w:t xml:space="preserve">Flexibilidad de modificación de las funcionalidades principales de C. Constructor</w:t>
      </w:r>
    </w:p>
    <w:p>
      <w:pPr>
        <w:numPr>
          <w:ilvl w:val="0"/>
          <w:numId w:val="1022"/>
        </w:numPr>
        <w:pStyle w:val="Compact"/>
      </w:pPr>
      <w:r>
        <w:t xml:space="preserve">Aumentar el nivel de capacidades y tecnologías del ESB</w:t>
      </w:r>
    </w:p>
    <w:bookmarkEnd w:id="77"/>
    <w:bookmarkStart w:id="78" w:name="actores-1"/>
    <w:p>
      <w:pPr>
        <w:pStyle w:val="Ttulo4"/>
      </w:pPr>
      <w:r>
        <w:t xml:space="preserve">Actores</w:t>
      </w:r>
    </w:p>
    <w:p>
      <w:pPr>
        <w:numPr>
          <w:ilvl w:val="0"/>
          <w:numId w:val="1023"/>
        </w:numPr>
        <w:pStyle w:val="Compact"/>
      </w:pPr>
      <w:r>
        <w:t xml:space="preserve">Unidades de negocio</w:t>
      </w:r>
    </w:p>
    <w:p>
      <w:pPr>
        <w:numPr>
          <w:ilvl w:val="0"/>
          <w:numId w:val="1023"/>
        </w:numPr>
        <w:pStyle w:val="Compact"/>
      </w:pPr>
      <w:r>
        <w:t xml:space="preserve">Oficina de Arquitectura</w:t>
      </w:r>
    </w:p>
    <w:p>
      <w:pPr>
        <w:numPr>
          <w:ilvl w:val="0"/>
          <w:numId w:val="1023"/>
        </w:numPr>
        <w:pStyle w:val="Compact"/>
      </w:pPr>
      <w:r>
        <w:t xml:space="preserve">Proveedores del FNA (Cobis, IBM, Oracle)</w:t>
      </w:r>
    </w:p>
    <w:p>
      <w:pPr>
        <w:numPr>
          <w:ilvl w:val="0"/>
          <w:numId w:val="1023"/>
        </w:numPr>
        <w:pStyle w:val="Compact"/>
      </w:pPr>
      <w:r>
        <w:t xml:space="preserve">Consultores / fabricantes de apoyo</w:t>
      </w:r>
    </w:p>
    <w:bookmarkEnd w:id="78"/>
    <w:bookmarkStart w:id="79" w:name="tecnologias-1"/>
    <w:p>
      <w:pPr>
        <w:pStyle w:val="Ttulo4"/>
      </w:pPr>
      <w:r>
        <w:t xml:space="preserve">Tecnologias</w:t>
      </w:r>
    </w:p>
    <w:p>
      <w:pPr>
        <w:numPr>
          <w:ilvl w:val="0"/>
          <w:numId w:val="1024"/>
        </w:numPr>
        <w:pStyle w:val="Compact"/>
      </w:pPr>
      <w:r>
        <w:t xml:space="preserve">Portafolio de API</w:t>
      </w:r>
    </w:p>
    <w:p>
      <w:pPr>
        <w:numPr>
          <w:ilvl w:val="0"/>
          <w:numId w:val="1024"/>
        </w:numPr>
        <w:pStyle w:val="Compact"/>
      </w:pPr>
      <w:r>
        <w:t xml:space="preserve">Herramientas de diseño de API</w:t>
      </w:r>
    </w:p>
    <w:bookmarkEnd w:id="79"/>
    <w:bookmarkEnd w:id="80"/>
    <w:bookmarkStart w:id="87" w:name="a1.-gobierno-soa"/>
    <w:p>
      <w:pPr>
        <w:pStyle w:val="Ttulo3"/>
      </w:pPr>
      <w:r>
        <w:t xml:space="preserve">A1. Gobierno SOA</w:t>
      </w:r>
    </w:p>
    <w:bookmarkStart w:id="81" w:name="objetivo-2"/>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81"/>
    <w:bookmarkStart w:id="82" w:name="oportunidades-retos-2"/>
    <w:p>
      <w:pPr>
        <w:pStyle w:val="Ttulo4"/>
      </w:pPr>
      <w:r>
        <w:t xml:space="preserve">Oportunidades / Retos</w:t>
      </w:r>
    </w:p>
    <w:p>
      <w:pPr>
        <w:numPr>
          <w:ilvl w:val="0"/>
          <w:numId w:val="1025"/>
        </w:numPr>
        <w:pStyle w:val="Compact"/>
      </w:pPr>
      <w:r>
        <w:t xml:space="preserve">Fortalecer el comité de gobierno SOA del FNA</w:t>
      </w:r>
    </w:p>
    <w:p>
      <w:pPr>
        <w:numPr>
          <w:ilvl w:val="0"/>
          <w:numId w:val="1025"/>
        </w:numPr>
        <w:pStyle w:val="Compact"/>
      </w:pPr>
      <w:r>
        <w:t xml:space="preserve">Generar lineamientos y políticas de gobierno SOA</w:t>
      </w:r>
    </w:p>
    <w:p>
      <w:pPr>
        <w:numPr>
          <w:ilvl w:val="0"/>
          <w:numId w:val="1025"/>
        </w:numPr>
        <w:pStyle w:val="Compact"/>
      </w:pPr>
      <w:r>
        <w:t xml:space="preserve">Promover la institucionalización de la arquitectura de referencia y del proceso de desarrollo de las soluciones SOA</w:t>
      </w:r>
    </w:p>
    <w:bookmarkEnd w:id="82"/>
    <w:bookmarkStart w:id="83" w:name="actores-2"/>
    <w:p>
      <w:pPr>
        <w:pStyle w:val="Ttulo4"/>
      </w:pPr>
      <w:r>
        <w:t xml:space="preserve">Actores</w:t>
      </w:r>
    </w:p>
    <w:p>
      <w:pPr>
        <w:numPr>
          <w:ilvl w:val="0"/>
          <w:numId w:val="1026"/>
        </w:numPr>
        <w:pStyle w:val="Compact"/>
      </w:pPr>
      <w:r>
        <w:t xml:space="preserve">Comité de gobierno del FNA</w:t>
      </w:r>
    </w:p>
    <w:p>
      <w:pPr>
        <w:numPr>
          <w:ilvl w:val="0"/>
          <w:numId w:val="1026"/>
        </w:numPr>
        <w:pStyle w:val="Compact"/>
      </w:pPr>
      <w:r>
        <w:t xml:space="preserve">Oficina de arquitectura FNA</w:t>
      </w:r>
    </w:p>
    <w:p>
      <w:pPr>
        <w:numPr>
          <w:ilvl w:val="0"/>
          <w:numId w:val="1026"/>
        </w:numPr>
        <w:pStyle w:val="Compact"/>
      </w:pPr>
      <w:r>
        <w:t xml:space="preserve">Comité asesor </w:t>
      </w:r>
    </w:p>
    <w:bookmarkEnd w:id="83"/>
    <w:bookmarkStart w:id="84" w:name="impacto-beneficio-2"/>
    <w:p>
      <w:pPr>
        <w:pStyle w:val="Ttulo4"/>
      </w:pPr>
      <w:r>
        <w:t xml:space="preserve">Impacto / Beneficio</w:t>
      </w:r>
    </w:p>
    <w:p>
      <w:pPr>
        <w:numPr>
          <w:ilvl w:val="0"/>
          <w:numId w:val="1027"/>
        </w:numPr>
        <w:pStyle w:val="Compact"/>
      </w:pPr>
      <w:r>
        <w:t xml:space="preserve">Lineamientos claros, libres de ambigüedad que permitan guiar la evolución de la arquitectura SOA 2.0 en la organización</w:t>
      </w:r>
    </w:p>
    <w:p>
      <w:pPr>
        <w:numPr>
          <w:ilvl w:val="0"/>
          <w:numId w:val="1027"/>
        </w:numPr>
        <w:pStyle w:val="Compact"/>
      </w:pPr>
      <w:r>
        <w:t xml:space="preserve">Fuente única de planeación estratégica y control de la operación SOA</w:t>
      </w:r>
    </w:p>
    <w:p>
      <w:pPr>
        <w:numPr>
          <w:ilvl w:val="0"/>
          <w:numId w:val="1027"/>
        </w:numPr>
        <w:pStyle w:val="Compact"/>
      </w:pPr>
      <w:r>
        <w:t xml:space="preserve">Vigilancia del cumplimiento de los niveles de servicio de las soluciones SOA​</w:t>
      </w:r>
    </w:p>
    <w:bookmarkEnd w:id="84"/>
    <w:bookmarkStart w:id="85" w:name="alcance-2"/>
    <w:p>
      <w:pPr>
        <w:pStyle w:val="Ttulo4"/>
      </w:pPr>
      <w:r>
        <w:t xml:space="preserve">Alcance</w:t>
      </w:r>
    </w:p>
    <w:p>
      <w:pPr>
        <w:numPr>
          <w:ilvl w:val="0"/>
          <w:numId w:val="1028"/>
        </w:numPr>
        <w:pStyle w:val="Compact"/>
      </w:pPr>
      <w:r>
        <w:t xml:space="preserve">Diseño de los procesos y responsabilidades del comité de gobierno</w:t>
      </w:r>
    </w:p>
    <w:p>
      <w:pPr>
        <w:numPr>
          <w:ilvl w:val="0"/>
          <w:numId w:val="1028"/>
        </w:numPr>
        <w:pStyle w:val="Compact"/>
      </w:pPr>
      <w:r>
        <w:t xml:space="preserve">Institucionalización del comité dentro del FNA</w:t>
      </w:r>
    </w:p>
    <w:p>
      <w:pPr>
        <w:numPr>
          <w:ilvl w:val="0"/>
          <w:numId w:val="1028"/>
        </w:numPr>
        <w:pStyle w:val="Compact"/>
      </w:pPr>
      <w:r>
        <w:t xml:space="preserve">Definición de roles y responsabilidades y selección e instalación del comité</w:t>
      </w:r>
    </w:p>
    <w:bookmarkEnd w:id="85"/>
    <w:bookmarkStart w:id="86" w:name="tecnología"/>
    <w:p>
      <w:pPr>
        <w:pStyle w:val="Ttulo4"/>
      </w:pPr>
      <w:r>
        <w:t xml:space="preserve">Tecnología</w:t>
      </w:r>
    </w:p>
    <w:p>
      <w:pPr>
        <w:numPr>
          <w:ilvl w:val="0"/>
          <w:numId w:val="1029"/>
        </w:numPr>
        <w:pStyle w:val="Compact"/>
      </w:pPr>
      <w:r>
        <w:t xml:space="preserve">Depósito centralizado SOA</w:t>
      </w:r>
    </w:p>
    <w:p>
      <w:pPr>
        <w:numPr>
          <w:ilvl w:val="0"/>
          <w:numId w:val="1029"/>
        </w:numPr>
        <w:pStyle w:val="Compact"/>
      </w:pPr>
      <w:r>
        <w:t xml:space="preserve">Depósito documental</w:t>
      </w:r>
    </w:p>
    <w:bookmarkEnd w:id="86"/>
    <w:bookmarkEnd w:id="87"/>
    <w:bookmarkEnd w:id="88"/>
    <w:bookmarkEnd w:id="89"/>
    <w:bookmarkStart w:id="90" w:name="fase-3-soa-objetivo-1"/>
    <w:p>
      <w:pPr>
        <w:pStyle w:val="Ttulo1"/>
      </w:pPr>
      <w:r>
        <w:t xml:space="preserve">Fase 3: SOA Objetivo</w:t>
      </w:r>
    </w:p>
    <w:bookmarkEnd w:id="90"/>
    <w:bookmarkStart w:id="91" w:name="X5c0c69e660e78a6abcb50f83e9ffaa519594cea"/>
    <w:p>
      <w:pPr>
        <w:pStyle w:val="Ttulo1"/>
      </w:pPr>
      <w:r>
        <w:t xml:space="preserve">Contenido de los Productos Contractuales, 181-2020</w:t>
      </w:r>
    </w:p>
    <w:bookmarkEnd w:id="91"/>
    <w:bookmarkStart w:id="11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92"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92"/>
    <w:bookmarkStart w:id="93" w:name="contenidos-1"/>
    <w:p>
      <w:pPr>
        <w:pStyle w:val="Ttulo2"/>
      </w:pPr>
      <w:r>
        <w:t xml:space="preserve">Contenidos</w:t>
      </w:r>
    </w:p>
    <w:p>
      <w:pPr>
        <w:numPr>
          <w:ilvl w:val="0"/>
          <w:numId w:val="1030"/>
        </w:numPr>
        <w:pStyle w:val="Compact"/>
      </w:pPr>
      <w:r>
        <w:t xml:space="preserve">Hoja de ruta de los proyectos de cambio</w:t>
      </w:r>
    </w:p>
    <w:p>
      <w:pPr>
        <w:numPr>
          <w:ilvl w:val="0"/>
          <w:numId w:val="1030"/>
        </w:numPr>
        <w:pStyle w:val="Compact"/>
      </w:pPr>
      <w:r>
        <w:t xml:space="preserve">Estimaciones y análisis de impacto y dependencia entre los cambios en el segmento de la empresa</w:t>
      </w:r>
    </w:p>
    <w:p>
      <w:pPr>
        <w:numPr>
          <w:ilvl w:val="0"/>
          <w:numId w:val="1030"/>
        </w:numPr>
        <w:pStyle w:val="Compact"/>
      </w:pPr>
      <w:r>
        <w:t xml:space="preserve">Consideraciones para la ejecución de los primeros cambios</w:t>
      </w:r>
    </w:p>
    <w:p>
      <w:pPr>
        <w:numPr>
          <w:ilvl w:val="0"/>
          <w:numId w:val="1030"/>
        </w:numPr>
        <w:pStyle w:val="Compact"/>
      </w:pPr>
      <w:r>
        <w:t xml:space="preserve">Puntos de control en la ejecución de la hoja de ruta SOA</w:t>
      </w:r>
    </w:p>
    <w:p>
      <w:pPr>
        <w:pStyle w:val="FirstParagraph"/>
      </w:pPr>
    </w:p>
    <w:bookmarkEnd w:id="93"/>
    <w:bookmarkStart w:id="94" w:name="criterios-de-aceptación-1"/>
    <w:p>
      <w:pPr>
        <w:pStyle w:val="Ttulo2"/>
      </w:pPr>
      <w:r>
        <w:t xml:space="preserve">Criterios de Aceptación</w:t>
      </w:r>
    </w:p>
    <w:p>
      <w:pPr>
        <w:numPr>
          <w:ilvl w:val="0"/>
          <w:numId w:val="1031"/>
        </w:numPr>
        <w:pStyle w:val="Compact"/>
      </w:pPr>
      <w:r>
        <w:t xml:space="preserve">Lista de cambios para el segmento FNA: ítems incluídos, por mejorar, nuevos y eliminados</w:t>
      </w:r>
    </w:p>
    <w:p>
      <w:pPr>
        <w:numPr>
          <w:ilvl w:val="0"/>
          <w:numId w:val="1031"/>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94"/>
    <w:bookmarkStart w:id="95" w:name="Xe8b290bf6bbbe8351a17f47bb578fe5e254361c"/>
    <w:p>
      <w:pPr>
        <w:pStyle w:val="Ttulo2"/>
      </w:pPr>
      <w:r>
        <w:t xml:space="preserve">Hoja de Ruta E-Service FNA de los Proyectos de Cambio</w:t>
      </w:r>
    </w:p>
    <w:bookmarkEnd w:id="95"/>
    <w:bookmarkStart w:id="99" w:name="X3e5c6ef72c682473ee3f54882a0f30e89d1196f"/>
    <w:p>
      <w:pPr>
        <w:pStyle w:val="Ttulo2"/>
      </w:pPr>
      <w:r>
        <w:t xml:space="preserve">Resumen de Problemáticas del Diagnóstivo de Madurez SOA del FNA</w:t>
      </w:r>
    </w:p>
    <w:p>
      <w:pPr>
        <w:numPr>
          <w:ilvl w:val="0"/>
          <w:numId w:val="1032"/>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32"/>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32"/>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32"/>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97" name="Picture"/>
            <a:graphic>
              <a:graphicData uri="http://schemas.openxmlformats.org/drawingml/2006/picture">
                <pic:pic>
                  <pic:nvPicPr>
                    <pic:cNvPr descr="images/madurezInfo_graf.png" id="98" name="Picture"/>
                    <pic:cNvPicPr>
                      <a:picLocks noChangeArrowheads="1" noChangeAspect="1"/>
                    </pic:cNvPicPr>
                  </pic:nvPicPr>
                  <pic:blipFill>
                    <a:blip r:embed="rId9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32"/>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32"/>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32"/>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99"/>
    <w:bookmarkStart w:id="103" w:name="análisis-de-las-fortalezas-soa-del-fna"/>
    <w:p>
      <w:pPr>
        <w:pStyle w:val="Ttulo2"/>
      </w:pPr>
      <w:r>
        <w:t xml:space="preserve">Análisis de las Fortalezas SOA del FNA</w:t>
      </w:r>
    </w:p>
    <w:p>
      <w:pPr>
        <w:numPr>
          <w:ilvl w:val="0"/>
          <w:numId w:val="1033"/>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33"/>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00">
        <w:r>
          <w:rPr>
            <w:rStyle w:val="Hipervnculo"/>
          </w:rPr>
          <w:t xml:space="preserve">N003e. Catálogo de Servicios FNA-1</w:t>
        </w:r>
      </w:hyperlink>
      <w:r>
        <w:t xml:space="preserve">, y</w:t>
      </w:r>
      <w:r>
        <w:t xml:space="preserve"> </w:t>
      </w:r>
      <w:hyperlink r:id="rId10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33"/>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0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33"/>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0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33"/>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03"/>
    <w:bookmarkStart w:id="10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04">
        <w:r>
          <w:rPr>
            <w:rStyle w:val="Hipervnculo"/>
          </w:rPr>
          <w:t xml:space="preserve">Resultado Diagnóstico Situación Actual-3</w:t>
        </w:r>
      </w:hyperlink>
      <w:r>
        <w:t xml:space="preserve">, la prevalencia del enfoque ascendente, esto es desde el provedor hacia el negocio</w:t>
      </w:r>
      <w:r>
        <w:t xml:space="preserve"> </w:t>
      </w:r>
      <w:hyperlink r:id="rId10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06"/>
    <w:bookmarkStart w:id="10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10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108"/>
    <w:bookmarkStart w:id="10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109"/>
    <w:bookmarkStart w:id="11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110"/>
    <w:bookmarkStart w:id="11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34"/>
        </w:numPr>
        <w:pStyle w:val="Compact"/>
      </w:pPr>
      <w:r>
        <w:t xml:space="preserve">Redundancias y el atraso de la información de los modelos y conceptos.</w:t>
      </w:r>
    </w:p>
    <w:p>
      <w:pPr>
        <w:numPr>
          <w:ilvl w:val="0"/>
          <w:numId w:val="1034"/>
        </w:numPr>
        <w:pStyle w:val="Compact"/>
      </w:pPr>
      <w:r>
        <w:t xml:space="preserve">Incompletitud en el modelamiento de conceptos, como las capacidades de negocio, o los procesos de negocio del FNA.</w:t>
      </w:r>
    </w:p>
    <w:p>
      <w:pPr>
        <w:numPr>
          <w:ilvl w:val="0"/>
          <w:numId w:val="1034"/>
        </w:numPr>
        <w:pStyle w:val="Compact"/>
      </w:pPr>
      <w:r>
        <w:t xml:space="preserve">Inconsistencia en el lenguaje de modelado. Falta estandarizar nombres y formas de representación de los mismo conceptos entre modelos.</w:t>
      </w:r>
    </w:p>
    <w:bookmarkEnd w:id="111"/>
    <w:bookmarkEnd w:id="11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9" Target="media/rId49.jpg" /><Relationship Type="http://schemas.openxmlformats.org/officeDocument/2006/relationships/image" Id="rId53" Target="media/rId53.jpg" /><Relationship Type="http://schemas.openxmlformats.org/officeDocument/2006/relationships/image" Id="rId96" Target="media/rId96.png" /><Relationship Type="http://schemas.openxmlformats.org/officeDocument/2006/relationships/hyperlink" Id="rId39" Target="" TargetMode="External" /><Relationship Type="http://schemas.openxmlformats.org/officeDocument/2006/relationships/hyperlink" Id="rId102" Target="N003e.Cat&#225;logodeServicios.md" TargetMode="External" /><Relationship Type="http://schemas.openxmlformats.org/officeDocument/2006/relationships/hyperlink" Id="rId100" Target="N003e.Cat&#225;logodeServiciosFNA-1.md" TargetMode="External" /><Relationship Type="http://schemas.openxmlformats.org/officeDocument/2006/relationships/hyperlink" Id="rId10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07" Target="ResultadoDiagn&#243;sticoSituaci&#243;nActual-1" TargetMode="External" /><Relationship Type="http://schemas.openxmlformats.org/officeDocument/2006/relationships/hyperlink" Id="rId105" Target="ResultadoDiagn&#243;sticoSituaci&#243;nActual-1a.md" TargetMode="External" /><Relationship Type="http://schemas.openxmlformats.org/officeDocument/2006/relationships/hyperlink" Id="rId10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48ebe6e6cc3e8be12048198e44645a4601523075" TargetMode="External" /><Relationship Type="http://schemas.openxmlformats.org/officeDocument/2006/relationships/hyperlink" Id="rId20" Target="https://hwong23.github.io/fna-devdoc-f3/v/48ebe6e6cc3e8be12048198e44645a4601523075/"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102" Target="N003e.Cat&#225;logodeServicios.md" TargetMode="External" /><Relationship Type="http://schemas.openxmlformats.org/officeDocument/2006/relationships/hyperlink" Id="rId100" Target="N003e.Cat&#225;logodeServiciosFNA-1.md" TargetMode="External" /><Relationship Type="http://schemas.openxmlformats.org/officeDocument/2006/relationships/hyperlink" Id="rId10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107" Target="ResultadoDiagn&#243;sticoSituaci&#243;nActual-1" TargetMode="External" /><Relationship Type="http://schemas.openxmlformats.org/officeDocument/2006/relationships/hyperlink" Id="rId105" Target="ResultadoDiagn&#243;sticoSituaci&#243;nActual-1a.md" TargetMode="External" /><Relationship Type="http://schemas.openxmlformats.org/officeDocument/2006/relationships/hyperlink" Id="rId10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48ebe6e6cc3e8be12048198e44645a4601523075" TargetMode="External" /><Relationship Type="http://schemas.openxmlformats.org/officeDocument/2006/relationships/hyperlink" Id="rId20" Target="https://hwong23.github.io/fna-devdoc-f3/v/48ebe6e6cc3e8be12048198e44645a4601523075/"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2023-02-27T22:54:51Z</dcterms:created>
  <dcterms:modified xsi:type="dcterms:W3CDTF">2023-02-27T22:54:51Z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