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9.jpg" ContentType="image/jpeg"/>
  <Override PartName="/word/media/rId53.jpg" ContentType="image/jpeg"/>
  <Override PartName="/word/media/rId11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857245e</w:t>
        </w:r>
      </w:hyperlink>
      <w:r>
        <w:t xml:space="preserve"> </w:t>
      </w:r>
      <w:r>
        <w:t xml:space="preserve">de February 27,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109"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857245e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857245e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7" w:name="análisis-de-brechas-del-fna.-iniciativas"/>
    <w:p>
      <w:pPr>
        <w:pStyle w:val="Ttulo2"/>
      </w:pPr>
      <w:r>
        <w:t xml:space="preserve">Análisis de Brechas del FNA. Iniciativas</w:t>
      </w:r>
    </w:p>
    <w:bookmarkStart w:id="43" w:name="iniciativa-a.-gobierno"/>
    <w:p>
      <w:pPr>
        <w:pStyle w:val="Ttulo3"/>
      </w:pPr>
      <w:r>
        <w:t xml:space="preserve">Iniciativa A. Gobierno</w:t>
      </w:r>
    </w:p>
    <w:p>
      <w:pPr>
        <w:numPr>
          <w:ilvl w:val="0"/>
          <w:numId w:val="1005"/>
        </w:numPr>
        <w:pStyle w:val="Compact"/>
      </w:pPr>
      <w:r>
        <w:t xml:space="preserve">A1 Gobierno SOA</w:t>
      </w:r>
    </w:p>
    <w:p>
      <w:pPr>
        <w:numPr>
          <w:ilvl w:val="0"/>
          <w:numId w:val="1005"/>
        </w:numPr>
        <w:pStyle w:val="Compact"/>
      </w:pPr>
      <w:r>
        <w:t xml:space="preserve">A2 Oficina de arquitectura</w:t>
      </w:r>
    </w:p>
    <w:bookmarkEnd w:id="43"/>
    <w:bookmarkStart w:id="44" w:name="b-iniciativa-b.-servicios-y-negocio"/>
    <w:p>
      <w:pPr>
        <w:pStyle w:val="Ttulo3"/>
      </w:pPr>
      <w:r>
        <w:t xml:space="preserve">B Iniciativa B. Servicios y Negocio</w:t>
      </w:r>
    </w:p>
    <w:p>
      <w:pPr>
        <w:numPr>
          <w:ilvl w:val="0"/>
          <w:numId w:val="1006"/>
        </w:numPr>
        <w:pStyle w:val="Compact"/>
      </w:pPr>
      <w:r>
        <w:t xml:space="preserve">B1 Gestión arquitectura 2.0</w:t>
      </w:r>
    </w:p>
    <w:p>
      <w:pPr>
        <w:numPr>
          <w:ilvl w:val="0"/>
          <w:numId w:val="1006"/>
        </w:numPr>
        <w:pStyle w:val="Compact"/>
      </w:pPr>
      <w:r>
        <w:t xml:space="preserve">B2 Microservicios</w:t>
      </w:r>
    </w:p>
    <w:p>
      <w:pPr>
        <w:numPr>
          <w:ilvl w:val="0"/>
          <w:numId w:val="1006"/>
        </w:numPr>
        <w:pStyle w:val="Compact"/>
      </w:pPr>
      <w:r>
        <w:t xml:space="preserve">B3 Portafolio de API</w:t>
      </w:r>
    </w:p>
    <w:p>
      <w:pPr>
        <w:numPr>
          <w:ilvl w:val="0"/>
          <w:numId w:val="1006"/>
        </w:numPr>
        <w:pStyle w:val="Compact"/>
      </w:pPr>
      <w:r>
        <w:t xml:space="preserve">B3.1 API Crédito constructor</w:t>
      </w:r>
    </w:p>
    <w:bookmarkEnd w:id="44"/>
    <w:bookmarkStart w:id="45" w:name="iniciativa-c.-plataforma-tecnológica"/>
    <w:p>
      <w:pPr>
        <w:pStyle w:val="Ttulo3"/>
      </w:pPr>
      <w:r>
        <w:t xml:space="preserve">Iniciativa C. Plataforma tecnológica</w:t>
      </w:r>
    </w:p>
    <w:p>
      <w:pPr>
        <w:numPr>
          <w:ilvl w:val="0"/>
          <w:numId w:val="1007"/>
        </w:numPr>
        <w:pStyle w:val="Compact"/>
      </w:pPr>
      <w:r>
        <w:t xml:space="preserve">C1 Service Mesh</w:t>
      </w:r>
    </w:p>
    <w:p>
      <w:pPr>
        <w:numPr>
          <w:ilvl w:val="0"/>
          <w:numId w:val="1007"/>
        </w:numPr>
        <w:pStyle w:val="Compact"/>
      </w:pPr>
      <w:r>
        <w:t xml:space="preserve">C2 Plataforma Híbrida de Integración</w:t>
      </w:r>
    </w:p>
    <w:p>
      <w:pPr>
        <w:numPr>
          <w:ilvl w:val="0"/>
          <w:numId w:val="1007"/>
        </w:numPr>
        <w:pStyle w:val="Compact"/>
      </w:pPr>
      <w:r>
        <w:t xml:space="preserve">C3 Hub de Integración Digital</w:t>
      </w:r>
    </w:p>
    <w:bookmarkEnd w:id="45"/>
    <w:bookmarkStart w:id="46" w:name="iniciativa-e.-infraestructura"/>
    <w:p>
      <w:pPr>
        <w:pStyle w:val="Ttulo3"/>
      </w:pPr>
      <w:r>
        <w:t xml:space="preserve">Iniciativa E. Infraestructura</w:t>
      </w:r>
    </w:p>
    <w:p>
      <w:pPr>
        <w:numPr>
          <w:ilvl w:val="0"/>
          <w:numId w:val="1008"/>
        </w:numPr>
        <w:pStyle w:val="Compact"/>
      </w:pPr>
      <w:r>
        <w:t xml:space="preserve">E1 Infraestructura</w:t>
      </w:r>
    </w:p>
    <w:p>
      <w:pPr>
        <w:pStyle w:val="FirstParagraph"/>
      </w:pPr>
    </w:p>
    <w:bookmarkEnd w:id="46"/>
    <w:bookmarkEnd w:id="47"/>
    <w:bookmarkStart w:id="48"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8"/>
    <w:bookmarkStart w:id="52"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50" name="Picture"/>
            <a:graphic>
              <a:graphicData uri="http://schemas.openxmlformats.org/drawingml/2006/picture">
                <pic:pic>
                  <pic:nvPicPr>
                    <pic:cNvPr descr="images/brechaCreditoCostructor.jpg" id="51" name="Picture"/>
                    <pic:cNvPicPr>
                      <a:picLocks noChangeArrowheads="1" noChangeAspect="1"/>
                    </pic:cNvPicPr>
                  </pic:nvPicPr>
                  <pic:blipFill>
                    <a:blip r:embed="rId49"/>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52"/>
    <w:bookmarkStart w:id="56"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54" name="Picture"/>
            <a:graphic>
              <a:graphicData uri="http://schemas.openxmlformats.org/drawingml/2006/picture">
                <pic:pic>
                  <pic:nvPicPr>
                    <pic:cNvPr descr="images/brechaESBFNA.jpg" id="55" name="Picture"/>
                    <pic:cNvPicPr>
                      <a:picLocks noChangeArrowheads="1" noChangeAspect="1"/>
                    </pic:cNvPicPr>
                  </pic:nvPicPr>
                  <pic:blipFill>
                    <a:blip r:embed="rId53"/>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857245e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56"/>
    <w:bookmarkStart w:id="108"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57" w:name="oportunidades-fna.-puntos-de-mejora"/>
    <w:p>
      <w:pPr>
        <w:pStyle w:val="Ttulo3"/>
      </w:pPr>
      <w:r>
        <w:t xml:space="preserve">Oportunidades FNA. Puntos de mejora</w:t>
      </w:r>
    </w:p>
    <w:p>
      <w:pPr>
        <w:numPr>
          <w:ilvl w:val="0"/>
          <w:numId w:val="1009"/>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9"/>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9"/>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9"/>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9"/>
        </w:numPr>
        <w:pStyle w:val="Compact"/>
      </w:pPr>
      <w:r>
        <w:t xml:space="preserve">OP5. Servicios FNA guiados por arquitectura 2.0. Mejorar el tiempo de puesta en producción. Modernizar las soluciones SOA mediante gestión de tecnologías de arquitectura 2.0.</w:t>
      </w:r>
    </w:p>
    <w:p>
      <w:pPr>
        <w:numPr>
          <w:ilvl w:val="0"/>
          <w:numId w:val="1009"/>
        </w:numPr>
        <w:pStyle w:val="Compact"/>
      </w:pPr>
      <w:r>
        <w:t xml:space="preserve">OP6​. Gestión de la Tecnología (gobierno) orientada por arquitectura 2.0​. Activar las herramientas de monitoreo de los servicios e índices de eficacia SOA.</w:t>
      </w:r>
    </w:p>
    <w:p>
      <w:pPr>
        <w:numPr>
          <w:ilvl w:val="0"/>
          <w:numId w:val="1009"/>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9"/>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57"/>
    <w:bookmarkStart w:id="63" w:name="prioridades-de-aprovechamiento"/>
    <w:p>
      <w:pPr>
        <w:pStyle w:val="Ttulo3"/>
      </w:pPr>
      <w:r>
        <w:t xml:space="preserve">Prioridades de Aprovechamiento</w:t>
      </w:r>
    </w:p>
    <w:bookmarkStart w:id="58" w:name="prioridad-alta"/>
    <w:p>
      <w:pPr>
        <w:pStyle w:val="Ttulo4"/>
      </w:pPr>
      <w:r>
        <w:t xml:space="preserve">Prioridad Alta</w:t>
      </w:r>
    </w:p>
    <w:p>
      <w:pPr>
        <w:numPr>
          <w:ilvl w:val="0"/>
          <w:numId w:val="1010"/>
        </w:numPr>
        <w:pStyle w:val="Compact"/>
      </w:pPr>
      <w:r>
        <w:t xml:space="preserve">OP1. Gobierno SOA​</w:t>
      </w:r>
    </w:p>
    <w:p>
      <w:pPr>
        <w:numPr>
          <w:ilvl w:val="0"/>
          <w:numId w:val="1010"/>
        </w:numPr>
        <w:pStyle w:val="Compact"/>
      </w:pPr>
      <w:r>
        <w:t xml:space="preserve">OP7. Articulación y fortalecimiento del equipo de arquitectura​</w:t>
      </w:r>
    </w:p>
    <w:bookmarkEnd w:id="58"/>
    <w:bookmarkStart w:id="59" w:name="prioridad-media---alta"/>
    <w:p>
      <w:pPr>
        <w:pStyle w:val="Ttulo4"/>
      </w:pPr>
      <w:r>
        <w:t xml:space="preserve">Prioridad Media - Alta</w:t>
      </w:r>
    </w:p>
    <w:p>
      <w:pPr>
        <w:numPr>
          <w:ilvl w:val="0"/>
          <w:numId w:val="1011"/>
        </w:numPr>
        <w:pStyle w:val="Compact"/>
      </w:pPr>
      <w:r>
        <w:t xml:space="preserve">OP2. Diseño / construcción de soluciones SOA​</w:t>
      </w:r>
    </w:p>
    <w:p>
      <w:pPr>
        <w:numPr>
          <w:ilvl w:val="0"/>
          <w:numId w:val="1011"/>
        </w:numPr>
        <w:pStyle w:val="Compact"/>
      </w:pPr>
      <w:r>
        <w:t xml:space="preserve">OP5. Servicios FNA guiados por arquitectura versión 2.0​</w:t>
      </w:r>
    </w:p>
    <w:p>
      <w:pPr>
        <w:numPr>
          <w:ilvl w:val="0"/>
          <w:numId w:val="1011"/>
        </w:numPr>
        <w:pStyle w:val="Compact"/>
      </w:pPr>
      <w:r>
        <w:t xml:space="preserve">OP3. Oferta de servicios analíticos a la organización</w:t>
      </w:r>
    </w:p>
    <w:bookmarkEnd w:id="59"/>
    <w:bookmarkStart w:id="60" w:name="prioridad-media---media"/>
    <w:p>
      <w:pPr>
        <w:pStyle w:val="Ttulo4"/>
      </w:pPr>
      <w:r>
        <w:t xml:space="preserve">Prioridad Media - Media</w:t>
      </w:r>
    </w:p>
    <w:p>
      <w:pPr>
        <w:numPr>
          <w:ilvl w:val="0"/>
          <w:numId w:val="1012"/>
        </w:numPr>
        <w:pStyle w:val="Compact"/>
      </w:pPr>
      <w:r>
        <w:t xml:space="preserve">OP4. Aumentar la utilización de la Tecnología SOA​</w:t>
      </w:r>
    </w:p>
    <w:p>
      <w:pPr>
        <w:numPr>
          <w:ilvl w:val="0"/>
          <w:numId w:val="1012"/>
        </w:numPr>
        <w:pStyle w:val="Compact"/>
      </w:pPr>
      <w:r>
        <w:t xml:space="preserve">OP6. Gestión de tecnología (gobierno) orientada por arquitectura 2.0​</w:t>
      </w:r>
    </w:p>
    <w:p>
      <w:pPr>
        <w:numPr>
          <w:ilvl w:val="0"/>
          <w:numId w:val="1012"/>
        </w:numPr>
        <w:pStyle w:val="Compact"/>
      </w:pPr>
      <w:r>
        <w:t xml:space="preserve">OP8. Monitoreo de los índices de eficacia gobierno y diseño SOA</w:t>
      </w:r>
    </w:p>
    <w:bookmarkEnd w:id="60"/>
    <w:bookmarkStart w:id="61" w:name="prioridad-media---baja"/>
    <w:p>
      <w:pPr>
        <w:pStyle w:val="Ttulo4"/>
      </w:pPr>
      <w:r>
        <w:t xml:space="preserve">Prioridad Media - Baja</w:t>
      </w:r>
    </w:p>
    <w:p>
      <w:pPr>
        <w:numPr>
          <w:ilvl w:val="0"/>
          <w:numId w:val="1013"/>
        </w:numPr>
        <w:pStyle w:val="Compact"/>
      </w:pPr>
      <w:r>
        <w:t xml:space="preserve">N/A</w:t>
      </w:r>
    </w:p>
    <w:bookmarkEnd w:id="61"/>
    <w:bookmarkStart w:id="62" w:name="prioridad-baja"/>
    <w:p>
      <w:pPr>
        <w:pStyle w:val="Ttulo4"/>
      </w:pPr>
      <w:r>
        <w:t xml:space="preserve">Prioridad Baja</w:t>
      </w:r>
    </w:p>
    <w:p>
      <w:pPr>
        <w:numPr>
          <w:ilvl w:val="0"/>
          <w:numId w:val="1014"/>
        </w:numPr>
        <w:pStyle w:val="Compact"/>
      </w:pPr>
      <w:r>
        <w:t xml:space="preserve">N/A</w:t>
      </w:r>
    </w:p>
    <w:p>
      <w:pPr>
        <w:pStyle w:val="FirstParagraph"/>
      </w:pPr>
    </w:p>
    <w:bookmarkEnd w:id="62"/>
    <w:bookmarkEnd w:id="63"/>
    <w:bookmarkStart w:id="66"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bookmarkStart w:id="64"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4"/>
    <w:bookmarkStart w:id="65"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857245e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65"/>
    <w:bookmarkEnd w:id="66"/>
    <w:bookmarkStart w:id="73" w:name="br01.-api-crédito-constructor"/>
    <w:p>
      <w:pPr>
        <w:pStyle w:val="Ttulo3"/>
      </w:pPr>
      <w:r>
        <w:t xml:space="preserve">BR01. API Crédito Constructor</w:t>
      </w:r>
    </w:p>
    <w:bookmarkStart w:id="67" w:name="objetivo"/>
    <w:p>
      <w:pPr>
        <w:pStyle w:val="Ttulo4"/>
      </w:pPr>
      <w:r>
        <w:t xml:space="preserve">Objetivo</w:t>
      </w:r>
    </w:p>
    <w:p>
      <w:pPr>
        <w:pStyle w:val="FirstParagraph"/>
      </w:pPr>
      <w:r>
        <w:t xml:space="preserve">Actualizar las interfaces de ejecución y exposición de funcionalidades (API) de Crédito Constructor.</w:t>
      </w:r>
    </w:p>
    <w:bookmarkEnd w:id="67"/>
    <w:bookmarkStart w:id="68" w:name="oportunidades-retos"/>
    <w:p>
      <w:pPr>
        <w:pStyle w:val="Ttulo4"/>
      </w:pPr>
      <w:r>
        <w:t xml:space="preserve">Oportunidades / Retos</w:t>
      </w:r>
    </w:p>
    <w:p>
      <w:pPr>
        <w:numPr>
          <w:ilvl w:val="0"/>
          <w:numId w:val="1015"/>
        </w:numPr>
        <w:pStyle w:val="Compact"/>
      </w:pPr>
      <w:r>
        <w:t xml:space="preserve">Convertir al producto Crédito Constructor en funcionalidades granulares, reutilizables y expuestas (privadas, protegidas y públicas)</w:t>
      </w:r>
    </w:p>
    <w:p>
      <w:pPr>
        <w:numPr>
          <w:ilvl w:val="0"/>
          <w:numId w:val="1015"/>
        </w:numPr>
        <w:pStyle w:val="Compact"/>
      </w:pPr>
      <w:r>
        <w:t xml:space="preserve">Comercializar el API de C. Constructor</w:t>
      </w:r>
    </w:p>
    <w:p>
      <w:pPr>
        <w:numPr>
          <w:ilvl w:val="0"/>
          <w:numId w:val="1015"/>
        </w:numPr>
        <w:pStyle w:val="Compact"/>
      </w:pPr>
      <w:r>
        <w:t xml:space="preserve">Estandarizar el modelo de integración e intercambio de datos</w:t>
      </w:r>
    </w:p>
    <w:bookmarkEnd w:id="68"/>
    <w:bookmarkStart w:id="69" w:name="alcance"/>
    <w:p>
      <w:pPr>
        <w:pStyle w:val="Ttulo4"/>
      </w:pPr>
      <w:r>
        <w:t xml:space="preserve">Alcance</w:t>
      </w:r>
    </w:p>
    <w:p>
      <w:pPr>
        <w:numPr>
          <w:ilvl w:val="0"/>
          <w:numId w:val="1016"/>
        </w:numPr>
        <w:pStyle w:val="Compact"/>
      </w:pPr>
      <w:r>
        <w:t xml:space="preserve">Estructurar e implementar funcionalidades del producto en forma de operaciones y datos expuestos (API)</w:t>
      </w:r>
    </w:p>
    <w:p>
      <w:pPr>
        <w:numPr>
          <w:ilvl w:val="0"/>
          <w:numId w:val="1016"/>
        </w:numPr>
        <w:pStyle w:val="Compact"/>
      </w:pPr>
      <w:r>
        <w:t xml:space="preserve">Establecer los nuevos consumidores de las API del producto</w:t>
      </w:r>
    </w:p>
    <w:p>
      <w:pPr>
        <w:numPr>
          <w:ilvl w:val="0"/>
          <w:numId w:val="1016"/>
        </w:numPr>
        <w:pStyle w:val="Compact"/>
      </w:pPr>
      <w:r>
        <w:t xml:space="preserve">Actualizar y modificar a los consumidores actuales (redirección)</w:t>
      </w:r>
    </w:p>
    <w:bookmarkEnd w:id="69"/>
    <w:bookmarkStart w:id="70" w:name="impacto-beneficio"/>
    <w:p>
      <w:pPr>
        <w:pStyle w:val="Ttulo4"/>
      </w:pPr>
      <w:r>
        <w:t xml:space="preserve">Impacto / Beneficio</w:t>
      </w:r>
    </w:p>
    <w:p>
      <w:pPr>
        <w:numPr>
          <w:ilvl w:val="0"/>
          <w:numId w:val="1017"/>
        </w:numPr>
        <w:pStyle w:val="Compact"/>
      </w:pPr>
      <w:r>
        <w:t xml:space="preserve">Proteger de impacto por cambios a los consumidores y ambos extremos de la integración</w:t>
      </w:r>
    </w:p>
    <w:p>
      <w:pPr>
        <w:numPr>
          <w:ilvl w:val="0"/>
          <w:numId w:val="1017"/>
        </w:numPr>
        <w:pStyle w:val="Compact"/>
      </w:pPr>
      <w:r>
        <w:t xml:space="preserve">Flexibilidad de modificación de las integraciones</w:t>
      </w:r>
    </w:p>
    <w:p>
      <w:pPr>
        <w:numPr>
          <w:ilvl w:val="0"/>
          <w:numId w:val="1017"/>
        </w:numPr>
        <w:pStyle w:val="Compact"/>
      </w:pPr>
      <w:r>
        <w:t xml:space="preserve">Modernización del modelo y tecnología de integración</w:t>
      </w:r>
    </w:p>
    <w:bookmarkEnd w:id="70"/>
    <w:bookmarkStart w:id="71" w:name="actores"/>
    <w:p>
      <w:pPr>
        <w:pStyle w:val="Ttulo4"/>
      </w:pPr>
      <w:r>
        <w:t xml:space="preserve">Actores</w:t>
      </w:r>
    </w:p>
    <w:p>
      <w:pPr>
        <w:numPr>
          <w:ilvl w:val="0"/>
          <w:numId w:val="1018"/>
        </w:numPr>
        <w:pStyle w:val="Compact"/>
      </w:pPr>
      <w:r>
        <w:t xml:space="preserve">Unidades de negocio</w:t>
      </w:r>
    </w:p>
    <w:p>
      <w:pPr>
        <w:numPr>
          <w:ilvl w:val="0"/>
          <w:numId w:val="1018"/>
        </w:numPr>
        <w:pStyle w:val="Compact"/>
      </w:pPr>
      <w:r>
        <w:t xml:space="preserve">Oficina de Arquitectura</w:t>
      </w:r>
    </w:p>
    <w:p>
      <w:pPr>
        <w:numPr>
          <w:ilvl w:val="0"/>
          <w:numId w:val="1018"/>
        </w:numPr>
        <w:pStyle w:val="Compact"/>
      </w:pPr>
      <w:r>
        <w:t xml:space="preserve">Proveedores del FNA (Cobis, IBM, Oracle)</w:t>
      </w:r>
    </w:p>
    <w:p>
      <w:pPr>
        <w:numPr>
          <w:ilvl w:val="0"/>
          <w:numId w:val="1018"/>
        </w:numPr>
        <w:pStyle w:val="Compact"/>
      </w:pPr>
      <w:r>
        <w:t xml:space="preserve">Consultores / fabricantes de apoyo</w:t>
      </w:r>
    </w:p>
    <w:bookmarkEnd w:id="71"/>
    <w:bookmarkStart w:id="72" w:name="tecnologias"/>
    <w:p>
      <w:pPr>
        <w:pStyle w:val="Ttulo4"/>
      </w:pPr>
      <w:r>
        <w:t xml:space="preserve">Tecnologias</w:t>
      </w:r>
    </w:p>
    <w:p>
      <w:pPr>
        <w:numPr>
          <w:ilvl w:val="0"/>
          <w:numId w:val="1019"/>
        </w:numPr>
        <w:pStyle w:val="Compact"/>
      </w:pPr>
      <w:r>
        <w:t xml:space="preserve">Portafolio de API</w:t>
      </w:r>
    </w:p>
    <w:p>
      <w:pPr>
        <w:numPr>
          <w:ilvl w:val="0"/>
          <w:numId w:val="1019"/>
        </w:numPr>
        <w:pStyle w:val="Compact"/>
      </w:pPr>
      <w:r>
        <w:t xml:space="preserve">Herramientas de diseño de API</w:t>
      </w:r>
    </w:p>
    <w:p>
      <w:pPr>
        <w:pStyle w:val="FirstParagraph"/>
      </w:pPr>
    </w:p>
    <w:bookmarkEnd w:id="72"/>
    <w:bookmarkEnd w:id="73"/>
    <w:bookmarkStart w:id="80" w:name="X9629b74e4a54b1bf8534ec8b990febb57c5cdc6"/>
    <w:p>
      <w:pPr>
        <w:pStyle w:val="Ttulo3"/>
      </w:pPr>
      <w:r>
        <w:t xml:space="preserve">BR010. Estandarización de Integración ESB FNA</w:t>
      </w:r>
    </w:p>
    <w:bookmarkStart w:id="74" w:name="objetivo-1"/>
    <w:p>
      <w:pPr>
        <w:pStyle w:val="Ttulo4"/>
      </w:pPr>
      <w:r>
        <w:t xml:space="preserve">Objetivo</w:t>
      </w:r>
    </w:p>
    <w:p>
      <w:pPr>
        <w:pStyle w:val="FirstParagraph"/>
      </w:pPr>
      <w:r>
        <w:t xml:space="preserve">Actualizar las interfaces de integración y comunicación entre servicios gestionados por el bus de datos empresarial ESB IBM FNA.</w:t>
      </w:r>
    </w:p>
    <w:bookmarkEnd w:id="74"/>
    <w:bookmarkStart w:id="75" w:name="oportunidades-retos-1"/>
    <w:p>
      <w:pPr>
        <w:pStyle w:val="Ttulo4"/>
      </w:pPr>
      <w:r>
        <w:t xml:space="preserve">Oportunidades / Retos</w:t>
      </w:r>
    </w:p>
    <w:p>
      <w:pPr>
        <w:numPr>
          <w:ilvl w:val="0"/>
          <w:numId w:val="1020"/>
        </w:numPr>
        <w:pStyle w:val="Compact"/>
      </w:pPr>
      <w:r>
        <w:t xml:space="preserve">Incluir formas de integración más flexibles y cercanas a lo funcional vía API, granulares, reutilizables y mediadas por niveles de exposición (privadas, protegidas y públicas)</w:t>
      </w:r>
    </w:p>
    <w:p>
      <w:pPr>
        <w:numPr>
          <w:ilvl w:val="0"/>
          <w:numId w:val="1020"/>
        </w:numPr>
        <w:pStyle w:val="Compact"/>
      </w:pPr>
      <w:r>
        <w:t xml:space="preserve">Migrar la integración entre aplicaciones hacia la exposición de funcionalidades independientes de la aplicación (API)</w:t>
      </w:r>
    </w:p>
    <w:p>
      <w:pPr>
        <w:numPr>
          <w:ilvl w:val="0"/>
          <w:numId w:val="1020"/>
        </w:numPr>
        <w:pStyle w:val="Compact"/>
      </w:pPr>
      <w:r>
        <w:t xml:space="preserve">Estandarizar el modelo de integración e intercambio de datos</w:t>
      </w:r>
    </w:p>
    <w:bookmarkEnd w:id="75"/>
    <w:bookmarkStart w:id="76" w:name="alcance-1"/>
    <w:p>
      <w:pPr>
        <w:pStyle w:val="Ttulo4"/>
      </w:pPr>
      <w:r>
        <w:t xml:space="preserve">Alcance</w:t>
      </w:r>
    </w:p>
    <w:p>
      <w:pPr>
        <w:numPr>
          <w:ilvl w:val="0"/>
          <w:numId w:val="1021"/>
        </w:numPr>
        <w:pStyle w:val="Compact"/>
      </w:pPr>
      <w:r>
        <w:t xml:space="preserve">Estructurar e implementar funcionalidades del producto en forma de operaciones y datos expuestos (API)</w:t>
      </w:r>
    </w:p>
    <w:p>
      <w:pPr>
        <w:numPr>
          <w:ilvl w:val="0"/>
          <w:numId w:val="1021"/>
        </w:numPr>
        <w:pStyle w:val="Compact"/>
      </w:pPr>
      <w:r>
        <w:t xml:space="preserve">Establecer los nuevos consumidores de las API del producto</w:t>
      </w:r>
    </w:p>
    <w:p>
      <w:pPr>
        <w:numPr>
          <w:ilvl w:val="0"/>
          <w:numId w:val="1021"/>
        </w:numPr>
        <w:pStyle w:val="Compact"/>
      </w:pPr>
      <w:r>
        <w:t xml:space="preserve">Actualizar y modificar a los consumidores actuales (redirección)</w:t>
      </w:r>
    </w:p>
    <w:bookmarkEnd w:id="76"/>
    <w:bookmarkStart w:id="77" w:name="impacto-beneficio-1"/>
    <w:p>
      <w:pPr>
        <w:pStyle w:val="Ttulo4"/>
      </w:pPr>
      <w:r>
        <w:t xml:space="preserve">Impacto / Beneficio</w:t>
      </w:r>
    </w:p>
    <w:p>
      <w:pPr>
        <w:numPr>
          <w:ilvl w:val="0"/>
          <w:numId w:val="1022"/>
        </w:numPr>
        <w:pStyle w:val="Compact"/>
      </w:pPr>
      <w:r>
        <w:t xml:space="preserve">Proteger de impacto por cambios en C. Constructor a los consumidores y aplicaciones clientes del producto</w:t>
      </w:r>
    </w:p>
    <w:p>
      <w:pPr>
        <w:numPr>
          <w:ilvl w:val="0"/>
          <w:numId w:val="1022"/>
        </w:numPr>
        <w:pStyle w:val="Compact"/>
      </w:pPr>
      <w:r>
        <w:t xml:space="preserve">Flexibilidad de modificación de las funcionalidades principales de C. Constructor</w:t>
      </w:r>
    </w:p>
    <w:p>
      <w:pPr>
        <w:numPr>
          <w:ilvl w:val="0"/>
          <w:numId w:val="1022"/>
        </w:numPr>
        <w:pStyle w:val="Compact"/>
      </w:pPr>
      <w:r>
        <w:t xml:space="preserve">Aumentar el nivel de capacidades y tecnologías del ESB</w:t>
      </w:r>
    </w:p>
    <w:bookmarkEnd w:id="77"/>
    <w:bookmarkStart w:id="78" w:name="actores-1"/>
    <w:p>
      <w:pPr>
        <w:pStyle w:val="Ttulo4"/>
      </w:pPr>
      <w:r>
        <w:t xml:space="preserve">Actores</w:t>
      </w:r>
    </w:p>
    <w:p>
      <w:pPr>
        <w:numPr>
          <w:ilvl w:val="0"/>
          <w:numId w:val="1023"/>
        </w:numPr>
        <w:pStyle w:val="Compact"/>
      </w:pPr>
      <w:r>
        <w:t xml:space="preserve">Unidades de negocio</w:t>
      </w:r>
    </w:p>
    <w:p>
      <w:pPr>
        <w:numPr>
          <w:ilvl w:val="0"/>
          <w:numId w:val="1023"/>
        </w:numPr>
        <w:pStyle w:val="Compact"/>
      </w:pPr>
      <w:r>
        <w:t xml:space="preserve">Oficina de Arquitectura</w:t>
      </w:r>
    </w:p>
    <w:p>
      <w:pPr>
        <w:numPr>
          <w:ilvl w:val="0"/>
          <w:numId w:val="1023"/>
        </w:numPr>
        <w:pStyle w:val="Compact"/>
      </w:pPr>
      <w:r>
        <w:t xml:space="preserve">Proveedores del FNA (Cobis, IBM, Oracle)</w:t>
      </w:r>
    </w:p>
    <w:p>
      <w:pPr>
        <w:numPr>
          <w:ilvl w:val="0"/>
          <w:numId w:val="1023"/>
        </w:numPr>
        <w:pStyle w:val="Compact"/>
      </w:pPr>
      <w:r>
        <w:t xml:space="preserve">Consultores / fabricantes de apoyo</w:t>
      </w:r>
    </w:p>
    <w:bookmarkEnd w:id="78"/>
    <w:bookmarkStart w:id="79" w:name="tecnologias-1"/>
    <w:p>
      <w:pPr>
        <w:pStyle w:val="Ttulo4"/>
      </w:pPr>
      <w:r>
        <w:t xml:space="preserve">Tecnologias</w:t>
      </w:r>
    </w:p>
    <w:p>
      <w:pPr>
        <w:numPr>
          <w:ilvl w:val="0"/>
          <w:numId w:val="1024"/>
        </w:numPr>
        <w:pStyle w:val="Compact"/>
      </w:pPr>
      <w:r>
        <w:t xml:space="preserve">Portafolio de API</w:t>
      </w:r>
    </w:p>
    <w:p>
      <w:pPr>
        <w:numPr>
          <w:ilvl w:val="0"/>
          <w:numId w:val="1024"/>
        </w:numPr>
        <w:pStyle w:val="Compact"/>
      </w:pPr>
      <w:r>
        <w:t xml:space="preserve">Herramientas de diseño de API</w:t>
      </w:r>
    </w:p>
    <w:bookmarkEnd w:id="79"/>
    <w:bookmarkEnd w:id="80"/>
    <w:bookmarkStart w:id="87" w:name="a1.-gobierno-soa"/>
    <w:p>
      <w:pPr>
        <w:pStyle w:val="Ttulo3"/>
      </w:pPr>
      <w:r>
        <w:t xml:space="preserve">A1. Gobierno SOA</w:t>
      </w:r>
    </w:p>
    <w:bookmarkStart w:id="81" w:name="objetivo-2"/>
    <w:p>
      <w:pPr>
        <w:pStyle w:val="Ttulo4"/>
      </w:pPr>
      <w:r>
        <w:t xml:space="preserve">Objetivo</w:t>
      </w:r>
    </w:p>
    <w:p>
      <w:pPr>
        <w:pStyle w:val="FirstParagraph"/>
      </w:pPr>
      <w:r>
        <w:t xml:space="preserve">Vigilar las relaciones entre las áreas de negocio (la vicepresidencia de operaciones y la vicepresidencia de crédito del FNA) y la implementación y diseño de soluciones SOA. El gobierno SOA del Fondo debe asistir en la aplicación y ejecución de un estándar de implementación, observación y puesta en marcha de soluciones SOA.</w:t>
      </w:r>
    </w:p>
    <w:bookmarkEnd w:id="81"/>
    <w:bookmarkStart w:id="82" w:name="oportunidades-retos-2"/>
    <w:p>
      <w:pPr>
        <w:pStyle w:val="Ttulo4"/>
      </w:pPr>
      <w:r>
        <w:t xml:space="preserve">Oportunidades / Retos</w:t>
      </w:r>
    </w:p>
    <w:p>
      <w:pPr>
        <w:numPr>
          <w:ilvl w:val="0"/>
          <w:numId w:val="1025"/>
        </w:numPr>
        <w:pStyle w:val="Compact"/>
      </w:pPr>
      <w:r>
        <w:t xml:space="preserve">Fortalecer el comité de gobierno SOA del FNA</w:t>
      </w:r>
    </w:p>
    <w:p>
      <w:pPr>
        <w:numPr>
          <w:ilvl w:val="0"/>
          <w:numId w:val="1025"/>
        </w:numPr>
        <w:pStyle w:val="Compact"/>
      </w:pPr>
      <w:r>
        <w:t xml:space="preserve">Generar lineamientos y políticas de gobierno SOA</w:t>
      </w:r>
    </w:p>
    <w:p>
      <w:pPr>
        <w:numPr>
          <w:ilvl w:val="0"/>
          <w:numId w:val="1025"/>
        </w:numPr>
        <w:pStyle w:val="Compact"/>
      </w:pPr>
      <w:r>
        <w:t xml:space="preserve">Promover la institucionalización de la arquitectura de referencia y del proceso de desarrollo de las soluciones SOA</w:t>
      </w:r>
    </w:p>
    <w:bookmarkEnd w:id="82"/>
    <w:bookmarkStart w:id="83" w:name="actores-2"/>
    <w:p>
      <w:pPr>
        <w:pStyle w:val="Ttulo4"/>
      </w:pPr>
      <w:r>
        <w:t xml:space="preserve">Actores</w:t>
      </w:r>
    </w:p>
    <w:p>
      <w:pPr>
        <w:numPr>
          <w:ilvl w:val="0"/>
          <w:numId w:val="1026"/>
        </w:numPr>
        <w:pStyle w:val="Compact"/>
      </w:pPr>
      <w:r>
        <w:t xml:space="preserve">Comité de gobierno del FNA</w:t>
      </w:r>
    </w:p>
    <w:p>
      <w:pPr>
        <w:numPr>
          <w:ilvl w:val="0"/>
          <w:numId w:val="1026"/>
        </w:numPr>
        <w:pStyle w:val="Compact"/>
      </w:pPr>
      <w:r>
        <w:t xml:space="preserve">Oficina de arquitectura FNA</w:t>
      </w:r>
    </w:p>
    <w:p>
      <w:pPr>
        <w:numPr>
          <w:ilvl w:val="0"/>
          <w:numId w:val="1026"/>
        </w:numPr>
        <w:pStyle w:val="Compact"/>
      </w:pPr>
      <w:r>
        <w:t xml:space="preserve">Comité asesor </w:t>
      </w:r>
    </w:p>
    <w:bookmarkEnd w:id="83"/>
    <w:bookmarkStart w:id="84" w:name="impacto-beneficio-2"/>
    <w:p>
      <w:pPr>
        <w:pStyle w:val="Ttulo4"/>
      </w:pPr>
      <w:r>
        <w:t xml:space="preserve">Impacto / Beneficio</w:t>
      </w:r>
    </w:p>
    <w:p>
      <w:pPr>
        <w:numPr>
          <w:ilvl w:val="0"/>
          <w:numId w:val="1027"/>
        </w:numPr>
        <w:pStyle w:val="Compact"/>
      </w:pPr>
      <w:r>
        <w:t xml:space="preserve">Lineamientos claros, libres de ambigüedad que permitan guiar la evolución de la arquitectura SOA 2.0 en la organización</w:t>
      </w:r>
    </w:p>
    <w:p>
      <w:pPr>
        <w:numPr>
          <w:ilvl w:val="0"/>
          <w:numId w:val="1027"/>
        </w:numPr>
        <w:pStyle w:val="Compact"/>
      </w:pPr>
      <w:r>
        <w:t xml:space="preserve">Fuente única de planeación estratégica y control de la operación SOA</w:t>
      </w:r>
    </w:p>
    <w:p>
      <w:pPr>
        <w:numPr>
          <w:ilvl w:val="0"/>
          <w:numId w:val="1027"/>
        </w:numPr>
        <w:pStyle w:val="Compact"/>
      </w:pPr>
      <w:r>
        <w:t xml:space="preserve">Vigilancia del cumplimiento de los niveles de servicio de las soluciones SOA​</w:t>
      </w:r>
    </w:p>
    <w:bookmarkEnd w:id="84"/>
    <w:bookmarkStart w:id="85" w:name="alcance-2"/>
    <w:p>
      <w:pPr>
        <w:pStyle w:val="Ttulo4"/>
      </w:pPr>
      <w:r>
        <w:t xml:space="preserve">Alcance</w:t>
      </w:r>
    </w:p>
    <w:p>
      <w:pPr>
        <w:numPr>
          <w:ilvl w:val="0"/>
          <w:numId w:val="1028"/>
        </w:numPr>
        <w:pStyle w:val="Compact"/>
      </w:pPr>
      <w:r>
        <w:t xml:space="preserve">Diseño de los procesos y responsabilidades del comité de gobierno</w:t>
      </w:r>
    </w:p>
    <w:p>
      <w:pPr>
        <w:numPr>
          <w:ilvl w:val="0"/>
          <w:numId w:val="1028"/>
        </w:numPr>
        <w:pStyle w:val="Compact"/>
      </w:pPr>
      <w:r>
        <w:t xml:space="preserve">Institucionalización del comité dentro del FNA</w:t>
      </w:r>
    </w:p>
    <w:p>
      <w:pPr>
        <w:numPr>
          <w:ilvl w:val="0"/>
          <w:numId w:val="1028"/>
        </w:numPr>
        <w:pStyle w:val="Compact"/>
      </w:pPr>
      <w:r>
        <w:t xml:space="preserve">Definición de roles y responsabilidades y selección e instalación del comité</w:t>
      </w:r>
    </w:p>
    <w:bookmarkEnd w:id="85"/>
    <w:bookmarkStart w:id="86" w:name="tecnología"/>
    <w:p>
      <w:pPr>
        <w:pStyle w:val="Ttulo4"/>
      </w:pPr>
      <w:r>
        <w:t xml:space="preserve">Tecnología</w:t>
      </w:r>
    </w:p>
    <w:p>
      <w:pPr>
        <w:numPr>
          <w:ilvl w:val="0"/>
          <w:numId w:val="1029"/>
        </w:numPr>
        <w:pStyle w:val="Compact"/>
      </w:pPr>
      <w:r>
        <w:t xml:space="preserve">Depósito centralizado SOA</w:t>
      </w:r>
    </w:p>
    <w:p>
      <w:pPr>
        <w:numPr>
          <w:ilvl w:val="0"/>
          <w:numId w:val="1029"/>
        </w:numPr>
        <w:pStyle w:val="Compact"/>
      </w:pPr>
      <w:r>
        <w:t xml:space="preserve">Depósito documental</w:t>
      </w:r>
    </w:p>
    <w:p>
      <w:pPr>
        <w:pStyle w:val="FirstParagraph"/>
      </w:pPr>
    </w:p>
    <w:bookmarkEnd w:id="86"/>
    <w:bookmarkEnd w:id="87"/>
    <w:bookmarkStart w:id="93" w:name="oficina-de-arquitectura"/>
    <w:p>
      <w:pPr>
        <w:pStyle w:val="Ttulo3"/>
      </w:pPr>
      <w:r>
        <w:t xml:space="preserve">Oficina de arquitectura</w:t>
      </w:r>
    </w:p>
    <w:bookmarkStart w:id="88" w:name="objetivo-3"/>
    <w:p>
      <w:pPr>
        <w:pStyle w:val="Ttulo4"/>
      </w:pPr>
      <w:r>
        <w:t xml:space="preserve">Objetivo</w:t>
      </w:r>
    </w:p>
    <w:p>
      <w:pPr>
        <w:pStyle w:val="FirstParagraph"/>
      </w:pPr>
      <w:r>
        <w:t xml:space="preserve">Equipo de trabajo, conforme al gobierno SOA, a cargo de los roles de gestión de la tecnología y arquitectura en los ámbitos específicos de diseño de servicios SOA y componentes de software, infraestructura tecnológica y redes, aplicaciones y herramientas de software, y especialista estructuras de datos e información negocio. Rol general: gestión de conocimiento de la arquitectura de referencia.​</w:t>
      </w:r>
    </w:p>
    <w:bookmarkEnd w:id="88"/>
    <w:bookmarkStart w:id="89" w:name="oportunidades-retos-3"/>
    <w:p>
      <w:pPr>
        <w:pStyle w:val="Ttulo4"/>
      </w:pPr>
      <w:r>
        <w:t xml:space="preserve">Oportunidades / Retos</w:t>
      </w:r>
    </w:p>
    <w:p>
      <w:pPr>
        <w:numPr>
          <w:ilvl w:val="0"/>
          <w:numId w:val="1030"/>
        </w:numPr>
        <w:pStyle w:val="Compact"/>
      </w:pPr>
      <w:r>
        <w:t xml:space="preserve">Institucionalizar el rol y los deberes y responsabilidad del grupo de arquitectura</w:t>
      </w:r>
    </w:p>
    <w:p>
      <w:pPr>
        <w:numPr>
          <w:ilvl w:val="0"/>
          <w:numId w:val="1030"/>
        </w:numPr>
        <w:pStyle w:val="Compact"/>
      </w:pPr>
      <w:r>
        <w:t xml:space="preserve">Hacer una gestión cada vez más efectiva del conocimiento en arquitectura del FNA​</w:t>
      </w:r>
    </w:p>
    <w:bookmarkEnd w:id="89"/>
    <w:bookmarkStart w:id="90" w:name="actores-3"/>
    <w:p>
      <w:pPr>
        <w:pStyle w:val="Ttulo4"/>
      </w:pPr>
      <w:r>
        <w:t xml:space="preserve">Actores</w:t>
      </w:r>
    </w:p>
    <w:p>
      <w:pPr>
        <w:numPr>
          <w:ilvl w:val="0"/>
          <w:numId w:val="1031"/>
        </w:numPr>
        <w:pStyle w:val="Compact"/>
      </w:pPr>
      <w:r>
        <w:t xml:space="preserve">Dirección TI</w:t>
      </w:r>
    </w:p>
    <w:p>
      <w:pPr>
        <w:numPr>
          <w:ilvl w:val="0"/>
          <w:numId w:val="1031"/>
        </w:numPr>
        <w:pStyle w:val="Compact"/>
      </w:pPr>
      <w:r>
        <w:t xml:space="preserve">Unidades de negocio​</w:t>
      </w:r>
    </w:p>
    <w:p>
      <w:pPr>
        <w:numPr>
          <w:ilvl w:val="0"/>
          <w:numId w:val="1031"/>
        </w:numPr>
        <w:pStyle w:val="Compact"/>
      </w:pPr>
      <w:r>
        <w:t xml:space="preserve">Consultores de soporte​</w:t>
      </w:r>
    </w:p>
    <w:p>
      <w:pPr>
        <w:pStyle w:val="FirstParagraph"/>
      </w:pPr>
      <w:r>
        <w:t xml:space="preserve">Impacto / Beneficio</w:t>
      </w:r>
      <w:r>
        <w:t xml:space="preserve"> </w:t>
      </w:r>
      <w:r>
        <w:t xml:space="preserve">A. Gestionar el conocimiento en arquitectura del FNA​</w:t>
      </w:r>
      <w:r>
        <w:t xml:space="preserve"> </w:t>
      </w:r>
      <w:r>
        <w:t xml:space="preserve">B. Proveer un enlace directo desde la oficina de arquitectura con los consultores en arquitectura​</w:t>
      </w:r>
      <w:r>
        <w:t xml:space="preserve"> </w:t>
      </w:r>
      <w:r>
        <w:t xml:space="preserve">C. Gobernar la arquitectura de referencia de la organización​</w:t>
      </w:r>
    </w:p>
    <w:bookmarkEnd w:id="90"/>
    <w:bookmarkStart w:id="91" w:name="alcance-3"/>
    <w:p>
      <w:pPr>
        <w:pStyle w:val="Ttulo4"/>
      </w:pPr>
      <w:r>
        <w:t xml:space="preserve">Alcance</w:t>
      </w:r>
    </w:p>
    <w:p>
      <w:pPr>
        <w:numPr>
          <w:ilvl w:val="0"/>
          <w:numId w:val="1032"/>
        </w:numPr>
        <w:pStyle w:val="Compact"/>
      </w:pPr>
      <w:r>
        <w:t xml:space="preserve">Definición de funciones y roles de los miembros de la oficina​</w:t>
      </w:r>
    </w:p>
    <w:p>
      <w:pPr>
        <w:numPr>
          <w:ilvl w:val="0"/>
          <w:numId w:val="1032"/>
        </w:numPr>
        <w:pStyle w:val="Compact"/>
      </w:pPr>
      <w:r>
        <w:t xml:space="preserve">Definir procesos y niveles de servicio de la oficina​</w:t>
      </w:r>
    </w:p>
    <w:p>
      <w:pPr>
        <w:numPr>
          <w:ilvl w:val="0"/>
          <w:numId w:val="1032"/>
        </w:numPr>
        <w:pStyle w:val="Compact"/>
      </w:pPr>
      <w:r>
        <w:t xml:space="preserve">Dar lanzamiento a la oficina​</w:t>
      </w:r>
    </w:p>
    <w:bookmarkEnd w:id="91"/>
    <w:bookmarkStart w:id="92" w:name="tecnología-1"/>
    <w:p>
      <w:pPr>
        <w:pStyle w:val="Ttulo4"/>
      </w:pPr>
      <w:r>
        <w:t xml:space="preserve">Tecnología</w:t>
      </w:r>
    </w:p>
    <w:p>
      <w:pPr>
        <w:numPr>
          <w:ilvl w:val="0"/>
          <w:numId w:val="1033"/>
        </w:numPr>
        <w:pStyle w:val="Compact"/>
      </w:pPr>
      <w:r>
        <w:t xml:space="preserve">Arquitectura de referencia</w:t>
      </w:r>
    </w:p>
    <w:p>
      <w:pPr>
        <w:numPr>
          <w:ilvl w:val="0"/>
          <w:numId w:val="1033"/>
        </w:numPr>
        <w:pStyle w:val="Compact"/>
      </w:pPr>
      <w:r>
        <w:t xml:space="preserve">Depósito de Arquitectura</w:t>
      </w:r>
    </w:p>
    <w:p>
      <w:pPr>
        <w:pStyle w:val="FirstParagraph"/>
      </w:pPr>
    </w:p>
    <w:bookmarkEnd w:id="92"/>
    <w:bookmarkEnd w:id="93"/>
    <w:bookmarkStart w:id="100" w:name="arquitectura-de-referencia-soa-2.0"/>
    <w:p>
      <w:pPr>
        <w:pStyle w:val="Ttulo3"/>
      </w:pPr>
      <w:r>
        <w:t xml:space="preserve">Arquitectura de referencia SOA 2.0</w:t>
      </w:r>
    </w:p>
    <w:bookmarkStart w:id="94" w:name="objetivo-4"/>
    <w:p>
      <w:pPr>
        <w:pStyle w:val="Ttulo4"/>
      </w:pPr>
      <w:r>
        <w:t xml:space="preserve">Objetivo</w:t>
      </w:r>
    </w:p>
    <w:p>
      <w:pPr>
        <w:pStyle w:val="FirstParagraph"/>
      </w:pPr>
      <w:r>
        <w:t xml:space="preserve">Evolucionar el desarrollo de los Servicios hacia microservicios y a la adopción de un estilo de arquitectura orientado a eventos. ​</w:t>
      </w:r>
    </w:p>
    <w:bookmarkEnd w:id="94"/>
    <w:bookmarkStart w:id="95" w:name="oportunidades-retos-4"/>
    <w:p>
      <w:pPr>
        <w:pStyle w:val="Ttulo4"/>
      </w:pPr>
      <w:r>
        <w:t xml:space="preserve">Oportunidades / Retos</w:t>
      </w:r>
    </w:p>
    <w:p>
      <w:pPr>
        <w:numPr>
          <w:ilvl w:val="0"/>
          <w:numId w:val="1034"/>
        </w:numPr>
        <w:pStyle w:val="Compact"/>
      </w:pPr>
      <w:r>
        <w:t xml:space="preserve">Acelerar el desarrollo de las arquitecturas de solución​</w:t>
      </w:r>
    </w:p>
    <w:p>
      <w:pPr>
        <w:numPr>
          <w:ilvl w:val="0"/>
          <w:numId w:val="1034"/>
        </w:numPr>
        <w:pStyle w:val="Compact"/>
      </w:pPr>
      <w:r>
        <w:t xml:space="preserve">Unificar el vocabulario con las áreas de negocio y TI​</w:t>
      </w:r>
    </w:p>
    <w:p>
      <w:pPr>
        <w:numPr>
          <w:ilvl w:val="0"/>
          <w:numId w:val="1034"/>
        </w:numPr>
        <w:pStyle w:val="Compact"/>
      </w:pPr>
      <w:r>
        <w:t xml:space="preserve">Proveer soporte a los lineamientos y políticas de gobierno​</w:t>
      </w:r>
    </w:p>
    <w:bookmarkEnd w:id="95"/>
    <w:bookmarkStart w:id="96" w:name="actores-4"/>
    <w:p>
      <w:pPr>
        <w:pStyle w:val="Ttulo4"/>
      </w:pPr>
      <w:r>
        <w:t xml:space="preserve">Actores</w:t>
      </w:r>
    </w:p>
    <w:p>
      <w:pPr>
        <w:numPr>
          <w:ilvl w:val="0"/>
          <w:numId w:val="1035"/>
        </w:numPr>
        <w:pStyle w:val="Compact"/>
      </w:pPr>
      <w:r>
        <w:t xml:space="preserve">Áreas de negocio críticas​</w:t>
      </w:r>
    </w:p>
    <w:p>
      <w:pPr>
        <w:numPr>
          <w:ilvl w:val="0"/>
          <w:numId w:val="1035"/>
        </w:numPr>
        <w:pStyle w:val="Compact"/>
      </w:pPr>
      <w:r>
        <w:t xml:space="preserve">Oficina de arquitectura FNA​</w:t>
      </w:r>
    </w:p>
    <w:p>
      <w:pPr>
        <w:numPr>
          <w:ilvl w:val="0"/>
          <w:numId w:val="1035"/>
        </w:numPr>
        <w:pStyle w:val="Compact"/>
      </w:pPr>
      <w:r>
        <w:t xml:space="preserve">Consultores y equipo de apoyo​</w:t>
      </w:r>
    </w:p>
    <w:bookmarkEnd w:id="96"/>
    <w:bookmarkStart w:id="97" w:name="impacto-beneficio-3"/>
    <w:p>
      <w:pPr>
        <w:pStyle w:val="Ttulo4"/>
      </w:pPr>
      <w:r>
        <w:t xml:space="preserve">Impacto / Beneficio</w:t>
      </w:r>
    </w:p>
    <w:p>
      <w:pPr>
        <w:numPr>
          <w:ilvl w:val="0"/>
          <w:numId w:val="1036"/>
        </w:numPr>
        <w:pStyle w:val="Compact"/>
      </w:pPr>
      <w:r>
        <w:t xml:space="preserve">Reducción en tiempos y costos asociados a las soluciones SOA​</w:t>
      </w:r>
    </w:p>
    <w:p>
      <w:pPr>
        <w:numPr>
          <w:ilvl w:val="0"/>
          <w:numId w:val="1036"/>
        </w:numPr>
        <w:pStyle w:val="Compact"/>
      </w:pPr>
      <w:r>
        <w:t xml:space="preserve">Mejora en la alineación entre negocio y TI​</w:t>
      </w:r>
    </w:p>
    <w:p>
      <w:pPr>
        <w:numPr>
          <w:ilvl w:val="0"/>
          <w:numId w:val="1036"/>
        </w:numPr>
        <w:pStyle w:val="Compact"/>
      </w:pPr>
      <w:r>
        <w:t xml:space="preserve">Mitigación de rotación del equipo de arquitectura​</w:t>
      </w:r>
    </w:p>
    <w:p>
      <w:pPr>
        <w:numPr>
          <w:ilvl w:val="0"/>
          <w:numId w:val="1036"/>
        </w:numPr>
        <w:pStyle w:val="Compact"/>
      </w:pPr>
      <w:r>
        <w:t xml:space="preserve">Visión global de soluciones de TI vs Requisitos del negocio​</w:t>
      </w:r>
    </w:p>
    <w:bookmarkEnd w:id="97"/>
    <w:bookmarkStart w:id="98" w:name="alcance-4"/>
    <w:p>
      <w:pPr>
        <w:pStyle w:val="Ttulo4"/>
      </w:pPr>
      <w:r>
        <w:t xml:space="preserve">Alcance</w:t>
      </w:r>
    </w:p>
    <w:p>
      <w:pPr>
        <w:numPr>
          <w:ilvl w:val="0"/>
          <w:numId w:val="1037"/>
        </w:numPr>
        <w:pStyle w:val="Compact"/>
      </w:pPr>
      <w:r>
        <w:t xml:space="preserve">Diseño a profundidad de vistas funciona, despliegue, información, integración y tecnología​</w:t>
      </w:r>
    </w:p>
    <w:p>
      <w:pPr>
        <w:numPr>
          <w:ilvl w:val="0"/>
          <w:numId w:val="1037"/>
        </w:numPr>
        <w:pStyle w:val="Compact"/>
      </w:pPr>
      <w:r>
        <w:t xml:space="preserve">Modelado en la herramienta de diseño del FNA​</w:t>
      </w:r>
    </w:p>
    <w:p>
      <w:pPr>
        <w:numPr>
          <w:ilvl w:val="0"/>
          <w:numId w:val="1037"/>
        </w:numPr>
        <w:pStyle w:val="Compact"/>
      </w:pPr>
      <w:r>
        <w:t xml:space="preserve">Utilización del depósito de arquitectura institucional​</w:t>
      </w:r>
    </w:p>
    <w:bookmarkEnd w:id="98"/>
    <w:bookmarkStart w:id="99" w:name="tecnología-2"/>
    <w:p>
      <w:pPr>
        <w:pStyle w:val="Ttulo4"/>
      </w:pPr>
      <w:r>
        <w:t xml:space="preserve">Tecnología</w:t>
      </w:r>
    </w:p>
    <w:p>
      <w:pPr>
        <w:numPr>
          <w:ilvl w:val="0"/>
          <w:numId w:val="1038"/>
        </w:numPr>
        <w:pStyle w:val="Compact"/>
      </w:pPr>
      <w:r>
        <w:t xml:space="preserve">Depósito´de Arquitectura</w:t>
      </w:r>
    </w:p>
    <w:p>
      <w:pPr>
        <w:numPr>
          <w:ilvl w:val="0"/>
          <w:numId w:val="1038"/>
        </w:numPr>
        <w:pStyle w:val="Compact"/>
      </w:pPr>
      <w:r>
        <w:t xml:space="preserve">Herramientas de modelado</w:t>
      </w:r>
    </w:p>
    <w:p>
      <w:pPr>
        <w:pStyle w:val="FirstParagraph"/>
      </w:pPr>
    </w:p>
    <w:bookmarkEnd w:id="99"/>
    <w:bookmarkEnd w:id="100"/>
    <w:bookmarkStart w:id="107" w:name="microservicios"/>
    <w:p>
      <w:pPr>
        <w:pStyle w:val="Ttulo3"/>
      </w:pPr>
      <w:r>
        <w:t xml:space="preserve">Microservicios</w:t>
      </w:r>
    </w:p>
    <w:bookmarkStart w:id="101" w:name="objetivo-5"/>
    <w:p>
      <w:pPr>
        <w:pStyle w:val="Ttulo4"/>
      </w:pPr>
      <w:r>
        <w:t xml:space="preserve">Objetivo</w:t>
      </w:r>
    </w:p>
    <w:p>
      <w:pPr>
        <w:pStyle w:val="FirstParagraph"/>
      </w:pPr>
      <w:r>
        <w:t xml:space="preserve">Promover el uso de microservicios como estilo de arquitectura para ser integrado con la estrategia SOA existente en el FNA​</w:t>
      </w:r>
    </w:p>
    <w:bookmarkEnd w:id="101"/>
    <w:bookmarkStart w:id="102" w:name="oportunidades-retos-5"/>
    <w:p>
      <w:pPr>
        <w:pStyle w:val="Ttulo4"/>
      </w:pPr>
      <w:r>
        <w:t xml:space="preserve">Oportunidades / Retos</w:t>
      </w:r>
    </w:p>
    <w:p>
      <w:pPr>
        <w:numPr>
          <w:ilvl w:val="0"/>
          <w:numId w:val="1039"/>
        </w:numPr>
        <w:pStyle w:val="Compact"/>
      </w:pPr>
      <w:r>
        <w:t xml:space="preserve">Proponer esquemas de arquitectura desacopladas​</w:t>
      </w:r>
    </w:p>
    <w:p>
      <w:pPr>
        <w:numPr>
          <w:ilvl w:val="0"/>
          <w:numId w:val="1039"/>
        </w:numPr>
        <w:pStyle w:val="Compact"/>
      </w:pPr>
      <w:r>
        <w:t xml:space="preserve">Actualizar el portafolio de servicios con tecnologías actuales mediante un estilo de arquitectura orientada a microservicios​</w:t>
      </w:r>
    </w:p>
    <w:p>
      <w:pPr>
        <w:numPr>
          <w:ilvl w:val="0"/>
          <w:numId w:val="1039"/>
        </w:numPr>
        <w:pStyle w:val="Compact"/>
      </w:pPr>
      <w:r>
        <w:t xml:space="preserve">Agilidad en el desarrollo de soluciones ​</w:t>
      </w:r>
    </w:p>
    <w:bookmarkEnd w:id="102"/>
    <w:bookmarkStart w:id="103" w:name="actores-5"/>
    <w:p>
      <w:pPr>
        <w:pStyle w:val="Ttulo4"/>
      </w:pPr>
      <w:r>
        <w:t xml:space="preserve">Actores</w:t>
      </w:r>
    </w:p>
    <w:p>
      <w:pPr>
        <w:numPr>
          <w:ilvl w:val="0"/>
          <w:numId w:val="1040"/>
        </w:numPr>
        <w:pStyle w:val="Compact"/>
      </w:pPr>
      <w:r>
        <w:t xml:space="preserve">Oficina de arquitectura​</w:t>
      </w:r>
    </w:p>
    <w:p>
      <w:pPr>
        <w:numPr>
          <w:ilvl w:val="0"/>
          <w:numId w:val="1040"/>
        </w:numPr>
        <w:pStyle w:val="Compact"/>
      </w:pPr>
      <w:r>
        <w:t xml:space="preserve">Desarrollo / operaciones​</w:t>
      </w:r>
    </w:p>
    <w:p>
      <w:pPr>
        <w:numPr>
          <w:ilvl w:val="0"/>
          <w:numId w:val="1040"/>
        </w:numPr>
        <w:pStyle w:val="Compact"/>
      </w:pPr>
      <w:r>
        <w:t xml:space="preserve">Consultores SOA​</w:t>
      </w:r>
    </w:p>
    <w:bookmarkEnd w:id="103"/>
    <w:bookmarkStart w:id="104" w:name="impacto-beneficio-4"/>
    <w:p>
      <w:pPr>
        <w:pStyle w:val="Ttulo4"/>
      </w:pPr>
      <w:r>
        <w:t xml:space="preserve">Impacto / Beneficio</w:t>
      </w:r>
    </w:p>
    <w:p>
      <w:pPr>
        <w:numPr>
          <w:ilvl w:val="0"/>
          <w:numId w:val="1041"/>
        </w:numPr>
        <w:pStyle w:val="Compact"/>
      </w:pPr>
      <w:r>
        <w:t xml:space="preserve">Actualización tecnológica​</w:t>
      </w:r>
    </w:p>
    <w:p>
      <w:pPr>
        <w:numPr>
          <w:ilvl w:val="0"/>
          <w:numId w:val="1041"/>
        </w:numPr>
        <w:pStyle w:val="Compact"/>
      </w:pPr>
      <w:r>
        <w:t xml:space="preserve">Disminución en los costos y tiempos asociados al desarrollo de soluciones SOA​</w:t>
      </w:r>
    </w:p>
    <w:p>
      <w:pPr>
        <w:numPr>
          <w:ilvl w:val="0"/>
          <w:numId w:val="1041"/>
        </w:numPr>
        <w:pStyle w:val="Compact"/>
      </w:pPr>
      <w:r>
        <w:t xml:space="preserve">Modernización y utilización de los mecanismos de integración de servicios​</w:t>
      </w:r>
    </w:p>
    <w:bookmarkEnd w:id="104"/>
    <w:bookmarkStart w:id="105" w:name="alcance-5"/>
    <w:p>
      <w:pPr>
        <w:pStyle w:val="Ttulo4"/>
      </w:pPr>
      <w:r>
        <w:t xml:space="preserve">Alcance</w:t>
      </w:r>
    </w:p>
    <w:p>
      <w:pPr>
        <w:numPr>
          <w:ilvl w:val="0"/>
          <w:numId w:val="1042"/>
        </w:numPr>
        <w:pStyle w:val="Compact"/>
      </w:pPr>
      <w:r>
        <w:t xml:space="preserve">Revisión del proceso de desarrollo de software del FNA​</w:t>
      </w:r>
    </w:p>
    <w:p>
      <w:pPr>
        <w:numPr>
          <w:ilvl w:val="0"/>
          <w:numId w:val="1042"/>
        </w:numPr>
        <w:pStyle w:val="Compact"/>
      </w:pPr>
      <w:r>
        <w:t xml:space="preserve">Apropiación de técnicas de desarrollo ágil - DevOps​</w:t>
      </w:r>
    </w:p>
    <w:p>
      <w:pPr>
        <w:numPr>
          <w:ilvl w:val="0"/>
          <w:numId w:val="1042"/>
        </w:numPr>
        <w:pStyle w:val="Compact"/>
      </w:pPr>
      <w:r>
        <w:t xml:space="preserve">Metodologías de análisis, diseño e implementación orientadas a microservicios​</w:t>
      </w:r>
    </w:p>
    <w:p>
      <w:pPr>
        <w:numPr>
          <w:ilvl w:val="0"/>
          <w:numId w:val="1042"/>
        </w:numPr>
        <w:pStyle w:val="Compact"/>
      </w:pPr>
      <w:r>
        <w:t xml:space="preserve">Adecuación de la infraestructura para soportar los flujos de despliegue continuo / integración continua y desarrollo de Microservicios​</w:t>
      </w:r>
    </w:p>
    <w:bookmarkEnd w:id="105"/>
    <w:bookmarkStart w:id="106" w:name="tecnología-3"/>
    <w:p>
      <w:pPr>
        <w:pStyle w:val="Ttulo4"/>
      </w:pPr>
      <w:r>
        <w:t xml:space="preserve">Tecnología</w:t>
      </w:r>
    </w:p>
    <w:p>
      <w:pPr>
        <w:numPr>
          <w:ilvl w:val="0"/>
          <w:numId w:val="1043"/>
        </w:numPr>
        <w:pStyle w:val="Compact"/>
      </w:pPr>
      <w:r>
        <w:t xml:space="preserve">Herramientas de desarrollo</w:t>
      </w:r>
    </w:p>
    <w:p>
      <w:pPr>
        <w:numPr>
          <w:ilvl w:val="0"/>
          <w:numId w:val="1043"/>
        </w:numPr>
        <w:pStyle w:val="Compact"/>
      </w:pPr>
      <w:r>
        <w:t xml:space="preserve">Herramientas de despliegue continuo / IC</w:t>
      </w:r>
    </w:p>
    <w:p>
      <w:pPr>
        <w:numPr>
          <w:ilvl w:val="0"/>
          <w:numId w:val="1043"/>
        </w:numPr>
        <w:pStyle w:val="Compact"/>
      </w:pPr>
      <w:r>
        <w:t xml:space="preserve">Tecnologías cloud</w:t>
      </w:r>
    </w:p>
    <w:bookmarkEnd w:id="106"/>
    <w:bookmarkEnd w:id="107"/>
    <w:bookmarkEnd w:id="108"/>
    <w:bookmarkEnd w:id="109"/>
    <w:bookmarkStart w:id="110" w:name="fase-3-soa-objetivo-1"/>
    <w:p>
      <w:pPr>
        <w:pStyle w:val="Ttulo1"/>
      </w:pPr>
      <w:r>
        <w:t xml:space="preserve">Fase 3: SOA Objetivo</w:t>
      </w:r>
    </w:p>
    <w:bookmarkEnd w:id="110"/>
    <w:bookmarkStart w:id="111" w:name="X5c0c69e660e78a6abcb50f83e9ffaa519594cea"/>
    <w:p>
      <w:pPr>
        <w:pStyle w:val="Ttulo1"/>
      </w:pPr>
      <w:r>
        <w:t xml:space="preserve">Contenido de los Productos Contractuales, 181-2020</w:t>
      </w:r>
    </w:p>
    <w:bookmarkEnd w:id="111"/>
    <w:bookmarkStart w:id="132"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112"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112"/>
    <w:bookmarkStart w:id="113" w:name="contenidos-1"/>
    <w:p>
      <w:pPr>
        <w:pStyle w:val="Ttulo2"/>
      </w:pPr>
      <w:r>
        <w:t xml:space="preserve">Contenidos</w:t>
      </w:r>
    </w:p>
    <w:p>
      <w:pPr>
        <w:numPr>
          <w:ilvl w:val="0"/>
          <w:numId w:val="1044"/>
        </w:numPr>
        <w:pStyle w:val="Compact"/>
      </w:pPr>
      <w:r>
        <w:t xml:space="preserve">Hoja de ruta de los proyectos de cambio</w:t>
      </w:r>
    </w:p>
    <w:p>
      <w:pPr>
        <w:numPr>
          <w:ilvl w:val="0"/>
          <w:numId w:val="1044"/>
        </w:numPr>
        <w:pStyle w:val="Compact"/>
      </w:pPr>
      <w:r>
        <w:t xml:space="preserve">Estimaciones y análisis de impacto y dependencia entre los cambios en el segmento de la empresa</w:t>
      </w:r>
    </w:p>
    <w:p>
      <w:pPr>
        <w:numPr>
          <w:ilvl w:val="0"/>
          <w:numId w:val="1044"/>
        </w:numPr>
        <w:pStyle w:val="Compact"/>
      </w:pPr>
      <w:r>
        <w:t xml:space="preserve">Consideraciones para la ejecución de los primeros cambios</w:t>
      </w:r>
    </w:p>
    <w:p>
      <w:pPr>
        <w:numPr>
          <w:ilvl w:val="0"/>
          <w:numId w:val="1044"/>
        </w:numPr>
        <w:pStyle w:val="Compact"/>
      </w:pPr>
      <w:r>
        <w:t xml:space="preserve">Puntos de control en la ejecución de la hoja de ruta SOA</w:t>
      </w:r>
    </w:p>
    <w:p>
      <w:pPr>
        <w:pStyle w:val="FirstParagraph"/>
      </w:pPr>
    </w:p>
    <w:bookmarkEnd w:id="113"/>
    <w:bookmarkStart w:id="114" w:name="criterios-de-aceptación-1"/>
    <w:p>
      <w:pPr>
        <w:pStyle w:val="Ttulo2"/>
      </w:pPr>
      <w:r>
        <w:t xml:space="preserve">Criterios de Aceptación</w:t>
      </w:r>
    </w:p>
    <w:p>
      <w:pPr>
        <w:numPr>
          <w:ilvl w:val="0"/>
          <w:numId w:val="1045"/>
        </w:numPr>
        <w:pStyle w:val="Compact"/>
      </w:pPr>
      <w:r>
        <w:t xml:space="preserve">Lista de cambios para el segmento FNA: ítems incluídos, por mejorar, nuevos y eliminados</w:t>
      </w:r>
    </w:p>
    <w:p>
      <w:pPr>
        <w:numPr>
          <w:ilvl w:val="0"/>
          <w:numId w:val="1045"/>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cambio</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857245e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114"/>
    <w:bookmarkStart w:id="115" w:name="Xe8b290bf6bbbe8351a17f47bb578fe5e254361c"/>
    <w:p>
      <w:pPr>
        <w:pStyle w:val="Ttulo2"/>
      </w:pPr>
      <w:r>
        <w:t xml:space="preserve">Hoja de Ruta E-Service FNA de los Proyectos de Cambio</w:t>
      </w:r>
    </w:p>
    <w:bookmarkEnd w:id="115"/>
    <w:bookmarkStart w:id="119" w:name="X3e5c6ef72c682473ee3f54882a0f30e89d1196f"/>
    <w:p>
      <w:pPr>
        <w:pStyle w:val="Ttulo2"/>
      </w:pPr>
      <w:r>
        <w:t xml:space="preserve">Resumen de Problemáticas del Diagnóstivo de Madurez SOA del FNA</w:t>
      </w:r>
    </w:p>
    <w:p>
      <w:pPr>
        <w:numPr>
          <w:ilvl w:val="0"/>
          <w:numId w:val="1046"/>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46"/>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46"/>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46"/>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117" name="Picture"/>
            <a:graphic>
              <a:graphicData uri="http://schemas.openxmlformats.org/drawingml/2006/picture">
                <pic:pic>
                  <pic:nvPicPr>
                    <pic:cNvPr descr="images/madurezInfo_graf.png" id="118" name="Picture"/>
                    <pic:cNvPicPr>
                      <a:picLocks noChangeArrowheads="1" noChangeAspect="1"/>
                    </pic:cNvPicPr>
                  </pic:nvPicPr>
                  <pic:blipFill>
                    <a:blip r:embed="rId116"/>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46"/>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46"/>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46"/>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119"/>
    <w:bookmarkStart w:id="123" w:name="análisis-de-las-fortalezas-soa-del-fna"/>
    <w:p>
      <w:pPr>
        <w:pStyle w:val="Ttulo2"/>
      </w:pPr>
      <w:r>
        <w:t xml:space="preserve">Análisis de las Fortalezas SOA del FNA</w:t>
      </w:r>
    </w:p>
    <w:p>
      <w:pPr>
        <w:numPr>
          <w:ilvl w:val="0"/>
          <w:numId w:val="1047"/>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47"/>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120">
        <w:r>
          <w:rPr>
            <w:rStyle w:val="Hipervnculo"/>
          </w:rPr>
          <w:t xml:space="preserve">N003e. Catálogo de Servicios FNA-1</w:t>
        </w:r>
      </w:hyperlink>
      <w:r>
        <w:t xml:space="preserve">, y</w:t>
      </w:r>
      <w:r>
        <w:t xml:space="preserve"> </w:t>
      </w:r>
      <w:hyperlink r:id="rId1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47"/>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1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47"/>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1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47"/>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123"/>
    <w:bookmarkStart w:id="126"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124">
        <w:r>
          <w:rPr>
            <w:rStyle w:val="Hipervnculo"/>
          </w:rPr>
          <w:t xml:space="preserve">Resultado Diagnóstico Situación Actual-3</w:t>
        </w:r>
      </w:hyperlink>
      <w:r>
        <w:t xml:space="preserve">, la prevalencia del enfoque ascendente, esto es desde el provedor hacia el negocio</w:t>
      </w:r>
      <w:r>
        <w:t xml:space="preserve"> </w:t>
      </w:r>
      <w:hyperlink r:id="rId125">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126"/>
    <w:bookmarkStart w:id="12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127">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128"/>
    <w:bookmarkStart w:id="12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129"/>
    <w:bookmarkStart w:id="130"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130"/>
    <w:bookmarkStart w:id="131"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48"/>
        </w:numPr>
        <w:pStyle w:val="Compact"/>
      </w:pPr>
      <w:r>
        <w:t xml:space="preserve">Redundancias y el atraso de la información de los modelos y conceptos.</w:t>
      </w:r>
    </w:p>
    <w:p>
      <w:pPr>
        <w:numPr>
          <w:ilvl w:val="0"/>
          <w:numId w:val="1048"/>
        </w:numPr>
        <w:pStyle w:val="Compact"/>
      </w:pPr>
      <w:r>
        <w:t xml:space="preserve">Incompletitud en el modelamiento de conceptos, como las capacidades de negocio, o los procesos de negocio del FNA.</w:t>
      </w:r>
    </w:p>
    <w:p>
      <w:pPr>
        <w:numPr>
          <w:ilvl w:val="0"/>
          <w:numId w:val="1048"/>
        </w:numPr>
        <w:pStyle w:val="Compact"/>
      </w:pPr>
      <w:r>
        <w:t xml:space="preserve">Inconsistencia en el lenguaje de modelado. Falta estandarizar nombres y formas de representación de los mismo conceptos entre modelos.</w:t>
      </w:r>
    </w:p>
    <w:bookmarkEnd w:id="131"/>
    <w:bookmarkEnd w:id="1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9" Target="media/rId49.jpg" /><Relationship Type="http://schemas.openxmlformats.org/officeDocument/2006/relationships/image" Id="rId53" Target="media/rId53.jpg" /><Relationship Type="http://schemas.openxmlformats.org/officeDocument/2006/relationships/image" Id="rId116" Target="media/rId116.png" /><Relationship Type="http://schemas.openxmlformats.org/officeDocument/2006/relationships/hyperlink" Id="rId39" Target="" TargetMode="External" /><Relationship Type="http://schemas.openxmlformats.org/officeDocument/2006/relationships/hyperlink" Id="rId122" Target="N003e.Cat&#225;logodeServicios.md" TargetMode="External" /><Relationship Type="http://schemas.openxmlformats.org/officeDocument/2006/relationships/hyperlink" Id="rId120" Target="N003e.Cat&#225;logodeServiciosFNA-1.md" TargetMode="External" /><Relationship Type="http://schemas.openxmlformats.org/officeDocument/2006/relationships/hyperlink" Id="rId121"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127" Target="ResultadoDiagn&#243;sticoSituaci&#243;nActual-1" TargetMode="External" /><Relationship Type="http://schemas.openxmlformats.org/officeDocument/2006/relationships/hyperlink" Id="rId125" Target="ResultadoDiagn&#243;sticoSituaci&#243;nActual-1a.md" TargetMode="External" /><Relationship Type="http://schemas.openxmlformats.org/officeDocument/2006/relationships/hyperlink" Id="rId124"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857245e1892a2a2ffac86b445059b27ddebc7755" TargetMode="External" /><Relationship Type="http://schemas.openxmlformats.org/officeDocument/2006/relationships/hyperlink" Id="rId20" Target="https://hwong23.github.io/fna-devdoc-f3/v/857245e1892a2a2ffac86b445059b27ddebc7755/"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122" Target="N003e.Cat&#225;logodeServicios.md" TargetMode="External" /><Relationship Type="http://schemas.openxmlformats.org/officeDocument/2006/relationships/hyperlink" Id="rId120" Target="N003e.Cat&#225;logodeServiciosFNA-1.md" TargetMode="External" /><Relationship Type="http://schemas.openxmlformats.org/officeDocument/2006/relationships/hyperlink" Id="rId121"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127" Target="ResultadoDiagn&#243;sticoSituaci&#243;nActual-1" TargetMode="External" /><Relationship Type="http://schemas.openxmlformats.org/officeDocument/2006/relationships/hyperlink" Id="rId125" Target="ResultadoDiagn&#243;sticoSituaci&#243;nActual-1a.md" TargetMode="External" /><Relationship Type="http://schemas.openxmlformats.org/officeDocument/2006/relationships/hyperlink" Id="rId124"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857245e1892a2a2ffac86b445059b27ddebc7755" TargetMode="External" /><Relationship Type="http://schemas.openxmlformats.org/officeDocument/2006/relationships/hyperlink" Id="rId20" Target="https://hwong23.github.io/fna-devdoc-f3/v/857245e1892a2a2ffac86b445059b27ddebc7755/"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2023-02-27T23:41:40Z</dcterms:created>
  <dcterms:modified xsi:type="dcterms:W3CDTF">2023-02-27T23:41:40Z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