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7.png" ContentType="image/png"/>
  <Override PartName="/word/media/rId49.jpg" ContentType="image/jpeg"/>
  <Override PartName="/word/media/rId53.jpg" ContentType="image/jpeg"/>
  <Override PartName="/word/media/rId19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c2a0862</w:t>
        </w:r>
      </w:hyperlink>
      <w:r>
        <w:t xml:space="preserve"> </w:t>
      </w:r>
      <w:r>
        <w:t xml:space="preserve">de February 28,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183"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6"/>
    <w:bookmarkStart w:id="60"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8" name="Picture"/>
            <a:graphic>
              <a:graphicData uri="http://schemas.openxmlformats.org/drawingml/2006/picture">
                <pic:pic>
                  <pic:nvPicPr>
                    <pic:cNvPr descr="images/brechaBizagi-Cobis.png" id="59" name="Picture"/>
                    <pic:cNvPicPr>
                      <a:picLocks noChangeArrowheads="1" noChangeAspect="1"/>
                    </pic:cNvPicPr>
                  </pic:nvPicPr>
                  <pic:blipFill>
                    <a:blip r:embed="rId57"/>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0"/>
    <w:bookmarkStart w:id="18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1"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1"/>
    <w:bookmarkStart w:id="67" w:name="prioridades-de-aprovechamiento"/>
    <w:p>
      <w:pPr>
        <w:pStyle w:val="Ttulo3"/>
      </w:pPr>
      <w:r>
        <w:t xml:space="preserve">Prioridades de Aprovechamiento</w:t>
      </w:r>
    </w:p>
    <w:bookmarkStart w:id="62"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2"/>
    <w:bookmarkStart w:id="63"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3"/>
    <w:bookmarkStart w:id="64"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4"/>
    <w:bookmarkStart w:id="65" w:name="prioridad-media---baja"/>
    <w:p>
      <w:pPr>
        <w:pStyle w:val="Ttulo4"/>
      </w:pPr>
      <w:r>
        <w:t xml:space="preserve">Prioridad Media - Baja</w:t>
      </w:r>
    </w:p>
    <w:p>
      <w:pPr>
        <w:numPr>
          <w:ilvl w:val="0"/>
          <w:numId w:val="1013"/>
        </w:numPr>
        <w:pStyle w:val="Compact"/>
      </w:pPr>
      <w:r>
        <w:t xml:space="preserve">N/A</w:t>
      </w:r>
    </w:p>
    <w:bookmarkEnd w:id="65"/>
    <w:bookmarkStart w:id="66" w:name="prioridad-baja"/>
    <w:p>
      <w:pPr>
        <w:pStyle w:val="Ttulo4"/>
      </w:pPr>
      <w:r>
        <w:t xml:space="preserve">Prioridad Baja</w:t>
      </w:r>
    </w:p>
    <w:p>
      <w:pPr>
        <w:numPr>
          <w:ilvl w:val="0"/>
          <w:numId w:val="1014"/>
        </w:numPr>
        <w:pStyle w:val="Compact"/>
      </w:pPr>
      <w:r>
        <w:t xml:space="preserve">N/A</w:t>
      </w:r>
    </w:p>
    <w:p>
      <w:pPr>
        <w:pStyle w:val="FirstParagraph"/>
      </w:pPr>
    </w:p>
    <w:bookmarkEnd w:id="66"/>
    <w:bookmarkEnd w:id="67"/>
    <w:bookmarkStart w:id="7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9"/>
    <w:bookmarkStart w:id="7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70"/>
    <w:bookmarkEnd w:id="71"/>
    <w:bookmarkStart w:id="78" w:name="br01.-api-crédito-constructor"/>
    <w:p>
      <w:pPr>
        <w:pStyle w:val="Ttulo3"/>
      </w:pPr>
      <w:r>
        <w:t xml:space="preserve">BR01. API Crédito Constructor</w:t>
      </w:r>
    </w:p>
    <w:bookmarkStart w:id="72" w:name="objetivo"/>
    <w:p>
      <w:pPr>
        <w:pStyle w:val="Ttulo4"/>
      </w:pPr>
      <w:r>
        <w:t xml:space="preserve">Objetivo</w:t>
      </w:r>
    </w:p>
    <w:p>
      <w:pPr>
        <w:pStyle w:val="FirstParagraph"/>
      </w:pPr>
      <w:r>
        <w:t xml:space="preserve">Actualizar las interfaces de ejecución y exposición de funcionalidades (API) de Crédito Constructor.</w:t>
      </w:r>
    </w:p>
    <w:bookmarkEnd w:id="72"/>
    <w:bookmarkStart w:id="73"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3"/>
    <w:bookmarkStart w:id="74"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4"/>
    <w:bookmarkStart w:id="75"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5"/>
    <w:bookmarkStart w:id="76"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6"/>
    <w:bookmarkStart w:id="77"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7"/>
    <w:bookmarkEnd w:id="78"/>
    <w:bookmarkStart w:id="85" w:name="hub-de-integración-digital"/>
    <w:p>
      <w:pPr>
        <w:pStyle w:val="Ttulo3"/>
      </w:pPr>
      <w:r>
        <w:t xml:space="preserve">Hub de Integración Digital</w:t>
      </w:r>
    </w:p>
    <w:bookmarkStart w:id="79"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9"/>
    <w:bookmarkStart w:id="80"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80"/>
    <w:bookmarkStart w:id="81"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1"/>
    <w:bookmarkStart w:id="82"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2"/>
    <w:bookmarkStart w:id="83"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3"/>
    <w:bookmarkStart w:id="84"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4"/>
    <w:bookmarkEnd w:id="85"/>
    <w:bookmarkStart w:id="91" w:name="data-mesh"/>
    <w:p>
      <w:pPr>
        <w:pStyle w:val="Ttulo3"/>
      </w:pPr>
      <w:r>
        <w:t xml:space="preserve">Data Mesh</w:t>
      </w:r>
    </w:p>
    <w:bookmarkStart w:id="86"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6"/>
    <w:bookmarkStart w:id="87"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7"/>
    <w:bookmarkStart w:id="88"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8"/>
    <w:bookmarkStart w:id="89"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9"/>
    <w:bookmarkStart w:id="90"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90"/>
    <w:bookmarkEnd w:id="91"/>
    <w:bookmarkStart w:id="98" w:name="gobierno-de-datos"/>
    <w:p>
      <w:pPr>
        <w:pStyle w:val="Ttulo3"/>
      </w:pPr>
      <w:r>
        <w:t xml:space="preserve">Gobierno de Datos</w:t>
      </w:r>
    </w:p>
    <w:bookmarkStart w:id="92"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2"/>
    <w:bookmarkStart w:id="93"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3"/>
    <w:bookmarkStart w:id="94"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4"/>
    <w:bookmarkStart w:id="95"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5"/>
    <w:bookmarkStart w:id="96"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6"/>
    <w:bookmarkStart w:id="97"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7"/>
    <w:bookmarkEnd w:id="98"/>
    <w:bookmarkStart w:id="105" w:name="gestión-de-datos-maestros"/>
    <w:p>
      <w:pPr>
        <w:pStyle w:val="Ttulo3"/>
      </w:pPr>
      <w:r>
        <w:t xml:space="preserve">Gestión de Datos Maestros</w:t>
      </w:r>
    </w:p>
    <w:bookmarkStart w:id="99"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9"/>
    <w:bookmarkStart w:id="100"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100"/>
    <w:bookmarkStart w:id="101"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1"/>
    <w:bookmarkStart w:id="102"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2"/>
    <w:bookmarkStart w:id="103"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3"/>
    <w:bookmarkStart w:id="104"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4"/>
    <w:bookmarkEnd w:id="105"/>
    <w:bookmarkStart w:id="112" w:name="devops"/>
    <w:p>
      <w:pPr>
        <w:pStyle w:val="Ttulo3"/>
      </w:pPr>
      <w:r>
        <w:t xml:space="preserve">Devops</w:t>
      </w:r>
    </w:p>
    <w:bookmarkStart w:id="106"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6"/>
    <w:bookmarkStart w:id="107"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7"/>
    <w:bookmarkStart w:id="108"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8"/>
    <w:bookmarkStart w:id="109"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9"/>
    <w:bookmarkStart w:id="110"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10"/>
    <w:bookmarkStart w:id="111"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1"/>
    <w:bookmarkEnd w:id="112"/>
    <w:bookmarkStart w:id="119" w:name="X5ba0ba8f3c80d971aa12cdd868cb4478fddaeda"/>
    <w:p>
      <w:pPr>
        <w:pStyle w:val="Ttulo3"/>
      </w:pPr>
      <w:r>
        <w:t xml:space="preserve">Arquitectura de aplicación escalable en la​ Nube</w:t>
      </w:r>
    </w:p>
    <w:bookmarkStart w:id="113" w:name="objetivo-6"/>
    <w:p>
      <w:pPr>
        <w:pStyle w:val="Ttulo4"/>
      </w:pPr>
      <w:r>
        <w:t xml:space="preserve">Objetivo</w:t>
      </w:r>
    </w:p>
    <w:p>
      <w:pPr>
        <w:pStyle w:val="FirstParagraph"/>
      </w:pPr>
      <w:r>
        <w:t xml:space="preserve">Alcanzar mejores niveles de eficiencia operativa, mayor escalabilidad y rendimiento mejorado​</w:t>
      </w:r>
    </w:p>
    <w:bookmarkEnd w:id="113"/>
    <w:bookmarkStart w:id="114"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4"/>
    <w:bookmarkStart w:id="115"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5"/>
    <w:bookmarkStart w:id="116"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6"/>
    <w:bookmarkStart w:id="117"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7"/>
    <w:bookmarkStart w:id="118"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8"/>
    <w:bookmarkEnd w:id="119"/>
    <w:bookmarkStart w:id="126" w:name="infraestructura-de-datos-de-autoservicio"/>
    <w:p>
      <w:pPr>
        <w:pStyle w:val="Ttulo3"/>
      </w:pPr>
      <w:r>
        <w:t xml:space="preserve">Infraestructura de datos de autoservicio</w:t>
      </w:r>
    </w:p>
    <w:bookmarkStart w:id="120"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20"/>
    <w:bookmarkStart w:id="121"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1"/>
    <w:bookmarkStart w:id="122"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2"/>
    <w:bookmarkStart w:id="123"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3"/>
    <w:bookmarkStart w:id="124"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4"/>
    <w:bookmarkStart w:id="125"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5"/>
    <w:bookmarkEnd w:id="126"/>
    <w:bookmarkStart w:id="133" w:name="X9629b74e4a54b1bf8534ec8b990febb57c5cdc6"/>
    <w:p>
      <w:pPr>
        <w:pStyle w:val="Ttulo3"/>
      </w:pPr>
      <w:r>
        <w:t xml:space="preserve">BR010. Estandarización de Integración ESB FNA</w:t>
      </w:r>
    </w:p>
    <w:bookmarkStart w:id="127"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7"/>
    <w:bookmarkStart w:id="128"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8"/>
    <w:bookmarkStart w:id="129"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9"/>
    <w:bookmarkStart w:id="130"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30"/>
    <w:bookmarkStart w:id="131"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1"/>
    <w:bookmarkStart w:id="132"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2"/>
    <w:bookmarkEnd w:id="133"/>
    <w:bookmarkStart w:id="140" w:name="a1.-gobierno-soa"/>
    <w:p>
      <w:pPr>
        <w:pStyle w:val="Ttulo3"/>
      </w:pPr>
      <w:r>
        <w:t xml:space="preserve">A1. Gobierno SOA</w:t>
      </w:r>
    </w:p>
    <w:bookmarkStart w:id="134"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4"/>
    <w:bookmarkStart w:id="135"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5"/>
    <w:bookmarkStart w:id="136"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6"/>
    <w:bookmarkStart w:id="137"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7"/>
    <w:bookmarkStart w:id="138"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8"/>
    <w:bookmarkStart w:id="139"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9"/>
    <w:bookmarkEnd w:id="140"/>
    <w:bookmarkStart w:id="146" w:name="oficina-de-arquitectura"/>
    <w:p>
      <w:pPr>
        <w:pStyle w:val="Ttulo3"/>
      </w:pPr>
      <w:r>
        <w:t xml:space="preserve">Oficina de arquitectura</w:t>
      </w:r>
    </w:p>
    <w:bookmarkStart w:id="141"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1"/>
    <w:bookmarkStart w:id="142"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2"/>
    <w:bookmarkStart w:id="143"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3"/>
    <w:bookmarkStart w:id="144"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4"/>
    <w:bookmarkStart w:id="145"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5"/>
    <w:bookmarkEnd w:id="146"/>
    <w:bookmarkStart w:id="153" w:name="arquitectura-de-referencia-soa-2.0"/>
    <w:p>
      <w:pPr>
        <w:pStyle w:val="Ttulo3"/>
      </w:pPr>
      <w:r>
        <w:t xml:space="preserve">Arquitectura de referencia SOA 2.0</w:t>
      </w:r>
    </w:p>
    <w:bookmarkStart w:id="147"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7"/>
    <w:bookmarkStart w:id="148"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8"/>
    <w:bookmarkStart w:id="149"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9"/>
    <w:bookmarkStart w:id="150"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50"/>
    <w:bookmarkStart w:id="151"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1"/>
    <w:bookmarkStart w:id="152"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2"/>
    <w:bookmarkEnd w:id="153"/>
    <w:bookmarkStart w:id="167" w:name="microservicios"/>
    <w:p>
      <w:pPr>
        <w:pStyle w:val="Ttulo3"/>
      </w:pPr>
      <w:r>
        <w:t xml:space="preserve">Microservicios</w:t>
      </w:r>
    </w:p>
    <w:bookmarkStart w:id="154"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4"/>
    <w:bookmarkStart w:id="155"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5"/>
    <w:bookmarkStart w:id="156"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6"/>
    <w:bookmarkStart w:id="157"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7"/>
    <w:bookmarkStart w:id="158"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8"/>
    <w:bookmarkStart w:id="159"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9"/>
    <w:bookmarkStart w:id="160" w:name="portafolio-de-api"/>
    <w:p>
      <w:pPr>
        <w:pStyle w:val="Ttulo4"/>
      </w:pPr>
      <w:r>
        <w:t xml:space="preserve">Portafolio de API</w:t>
      </w:r>
    </w:p>
    <w:bookmarkEnd w:id="160"/>
    <w:bookmarkStart w:id="161"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1"/>
    <w:bookmarkStart w:id="162"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2"/>
    <w:bookmarkStart w:id="163"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3"/>
    <w:bookmarkStart w:id="164"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4"/>
    <w:bookmarkStart w:id="165"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5"/>
    <w:bookmarkStart w:id="166"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6"/>
    <w:bookmarkEnd w:id="167"/>
    <w:bookmarkStart w:id="174" w:name="service-mesh"/>
    <w:p>
      <w:pPr>
        <w:pStyle w:val="Ttulo3"/>
      </w:pPr>
      <w:r>
        <w:t xml:space="preserve">Service Mesh</w:t>
      </w:r>
    </w:p>
    <w:bookmarkStart w:id="168"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8"/>
    <w:bookmarkStart w:id="169"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9"/>
    <w:bookmarkStart w:id="170"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70"/>
    <w:bookmarkStart w:id="171"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1"/>
    <w:bookmarkStart w:id="172"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2"/>
    <w:bookmarkStart w:id="173"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3"/>
    <w:bookmarkEnd w:id="174"/>
    <w:bookmarkStart w:id="181" w:name="plataforma-híbrida-de-integración"/>
    <w:p>
      <w:pPr>
        <w:pStyle w:val="Ttulo3"/>
      </w:pPr>
      <w:r>
        <w:t xml:space="preserve">Plataforma Híbrida de Integración</w:t>
      </w:r>
    </w:p>
    <w:bookmarkStart w:id="175"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5"/>
    <w:bookmarkStart w:id="176"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6"/>
    <w:bookmarkStart w:id="177"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7"/>
    <w:bookmarkStart w:id="178"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8"/>
    <w:bookmarkStart w:id="179"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9"/>
    <w:bookmarkStart w:id="180"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80"/>
    <w:bookmarkEnd w:id="181"/>
    <w:bookmarkEnd w:id="182"/>
    <w:bookmarkEnd w:id="183"/>
    <w:bookmarkStart w:id="184" w:name="fase-3-soa-objetivo-1"/>
    <w:p>
      <w:pPr>
        <w:pStyle w:val="Ttulo1"/>
      </w:pPr>
      <w:r>
        <w:t xml:space="preserve">Fase 3: SOA Objetivo</w:t>
      </w:r>
    </w:p>
    <w:bookmarkEnd w:id="184"/>
    <w:bookmarkStart w:id="185" w:name="X5c0c69e660e78a6abcb50f83e9ffaa519594cea"/>
    <w:p>
      <w:pPr>
        <w:pStyle w:val="Ttulo1"/>
      </w:pPr>
      <w:r>
        <w:t xml:space="preserve">Contenido de los Productos Contractuales, 181-2020</w:t>
      </w:r>
    </w:p>
    <w:bookmarkEnd w:id="185"/>
    <w:bookmarkStart w:id="206"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6"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6"/>
    <w:bookmarkStart w:id="187"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7"/>
    <w:bookmarkStart w:id="188"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188"/>
    <w:bookmarkStart w:id="189" w:name="Xe8b290bf6bbbe8351a17f47bb578fe5e254361c"/>
    <w:p>
      <w:pPr>
        <w:pStyle w:val="Ttulo2"/>
      </w:pPr>
      <w:r>
        <w:t xml:space="preserve">Hoja de Ruta E-Service FNA de los Proyectos de Cambio</w:t>
      </w:r>
    </w:p>
    <w:bookmarkEnd w:id="189"/>
    <w:bookmarkStart w:id="193"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1" name="Picture"/>
            <a:graphic>
              <a:graphicData uri="http://schemas.openxmlformats.org/drawingml/2006/picture">
                <pic:pic>
                  <pic:nvPicPr>
                    <pic:cNvPr descr="images/madurezInfo_graf.png" id="192" name="Picture"/>
                    <pic:cNvPicPr>
                      <a:picLocks noChangeArrowheads="1" noChangeAspect="1"/>
                    </pic:cNvPicPr>
                  </pic:nvPicPr>
                  <pic:blipFill>
                    <a:blip r:embed="rId19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3"/>
    <w:bookmarkStart w:id="197"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4">
        <w:r>
          <w:rPr>
            <w:rStyle w:val="Hipervnculo"/>
          </w:rPr>
          <w:t xml:space="preserve">N003e. Catálogo de Servicios FNA-1</w:t>
        </w:r>
      </w:hyperlink>
      <w:r>
        <w:t xml:space="preserve">, y</w:t>
      </w:r>
      <w:r>
        <w:t xml:space="preserve"> </w:t>
      </w:r>
      <w:hyperlink r:id="rId195">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5">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6">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7"/>
    <w:bookmarkStart w:id="200"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8">
        <w:r>
          <w:rPr>
            <w:rStyle w:val="Hipervnculo"/>
          </w:rPr>
          <w:t xml:space="preserve">Resultado Diagnóstico Situación Actual-3</w:t>
        </w:r>
      </w:hyperlink>
      <w:r>
        <w:t xml:space="preserve">, la prevalencia del enfoque ascendente, esto es desde el provedor hacia el negocio</w:t>
      </w:r>
      <w:r>
        <w:t xml:space="preserve"> </w:t>
      </w:r>
      <w:hyperlink r:id="rId199">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00"/>
    <w:bookmarkStart w:id="202"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1">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2"/>
    <w:bookmarkStart w:id="203"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3"/>
    <w:bookmarkStart w:id="204"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4"/>
    <w:bookmarkStart w:id="205"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bookmarkEnd w:id="205"/>
    <w:bookmarkEnd w:id="20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190" Target="media/rId190.png" /><Relationship Type="http://schemas.openxmlformats.org/officeDocument/2006/relationships/hyperlink" Id="rId39" Target="" TargetMode="External" /><Relationship Type="http://schemas.openxmlformats.org/officeDocument/2006/relationships/hyperlink" Id="rId196" Target="N003e.Cat&#225;logodeServicios.md" TargetMode="External" /><Relationship Type="http://schemas.openxmlformats.org/officeDocument/2006/relationships/hyperlink" Id="rId194" Target="N003e.Cat&#225;logodeServiciosFNA-1.md" TargetMode="External" /><Relationship Type="http://schemas.openxmlformats.org/officeDocument/2006/relationships/hyperlink" Id="rId19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201" Target="ResultadoDiagn&#243;sticoSituaci&#243;nActual-1" TargetMode="External" /><Relationship Type="http://schemas.openxmlformats.org/officeDocument/2006/relationships/hyperlink" Id="rId199" Target="ResultadoDiagn&#243;sticoSituaci&#243;nActual-1a.md" TargetMode="External" /><Relationship Type="http://schemas.openxmlformats.org/officeDocument/2006/relationships/hyperlink" Id="rId19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2a0862840b79adc6f68ecf3d52f74b5b4d72131" TargetMode="External" /><Relationship Type="http://schemas.openxmlformats.org/officeDocument/2006/relationships/hyperlink" Id="rId20" Target="https://hwong23.github.io/fna-devdoc-f3/v/c2a0862840b79adc6f68ecf3d52f74b5b4d72131/"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96" Target="N003e.Cat&#225;logodeServicios.md" TargetMode="External" /><Relationship Type="http://schemas.openxmlformats.org/officeDocument/2006/relationships/hyperlink" Id="rId194" Target="N003e.Cat&#225;logodeServiciosFNA-1.md" TargetMode="External" /><Relationship Type="http://schemas.openxmlformats.org/officeDocument/2006/relationships/hyperlink" Id="rId195"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201" Target="ResultadoDiagn&#243;sticoSituaci&#243;nActual-1" TargetMode="External" /><Relationship Type="http://schemas.openxmlformats.org/officeDocument/2006/relationships/hyperlink" Id="rId199" Target="ResultadoDiagn&#243;sticoSituaci&#243;nActual-1a.md" TargetMode="External" /><Relationship Type="http://schemas.openxmlformats.org/officeDocument/2006/relationships/hyperlink" Id="rId198"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2a0862840b79adc6f68ecf3d52f74b5b4d72131" TargetMode="External" /><Relationship Type="http://schemas.openxmlformats.org/officeDocument/2006/relationships/hyperlink" Id="rId20" Target="https://hwong23.github.io/fna-devdoc-f3/v/c2a0862840b79adc6f68ecf3d52f74b5b4d72131/"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2023-02-28T11:23:51Z</dcterms:created>
  <dcterms:modified xsi:type="dcterms:W3CDTF">2023-02-28T11:23:51Z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