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5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cc376ce</w:t>
        </w:r>
      </w:hyperlink>
      <w:r>
        <w:t xml:space="preserve"> </w:t>
      </w:r>
      <w:r>
        <w:t xml:space="preserve">de February 20, 2023.</w:t>
      </w:r>
    </w:p>
    <w:bookmarkStart w:id="27"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t xml:space="preserve">GitHub icon</w:t>
      </w:r>
      <w:r>
        <w:t xml:space="preserve"> </w:t>
      </w:r>
      <w:hyperlink r:id="rId23">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t xml:space="preserve">GitHub icon</w:t>
      </w:r>
      <w:r>
        <w:t xml:space="preserve"> </w:t>
      </w:r>
      <w:hyperlink r:id="rId24">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t xml:space="preserve">GitHub icon</w:t>
      </w:r>
      <w:r>
        <w:t xml:space="preserve"> </w:t>
      </w:r>
      <w:hyperlink r:id="rId25">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Start w:id="26" w:name="pr9.-portafolio-de-iniciativas-y-brechas"/>
    <w:p>
      <w:pPr>
        <w:pStyle w:val="Ttulo4"/>
      </w:pPr>
      <w:r>
        <w:t xml:space="preserve">PR9. Portafolio de iniciativas y brechas</w:t>
      </w:r>
    </w:p>
    <w:bookmarkEnd w:id="26"/>
    <w:bookmarkEnd w:id="27"/>
    <w:bookmarkStart w:id="28" w:name="fase-3-soa-objetivo"/>
    <w:p>
      <w:pPr>
        <w:pStyle w:val="Ttulo1"/>
      </w:pPr>
      <w:r>
        <w:t xml:space="preserve">Fase 3: SOA Objetivo</w:t>
      </w:r>
    </w:p>
    <w:bookmarkEnd w:id="28"/>
    <w:bookmarkStart w:id="29" w:name="Xde28353806a99316a61e306cd812fd556109b6d"/>
    <w:p>
      <w:pPr>
        <w:pStyle w:val="Ttulo1"/>
      </w:pPr>
      <w:r>
        <w:t xml:space="preserve">Contenido de los Productos Contractuales, 181-2020</w:t>
      </w:r>
    </w:p>
    <w:bookmarkEnd w:id="29"/>
    <w:bookmarkStart w:id="45"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proyectos generadores de cambios aplicables a la situación actual SOA (Fase 1 del proyecto). El portafolio parte desde la arquittectura candidata desarrollada en la fase anterior e identifica los paquetes de trabajo (iniciativas, proyectos, reformas) que conducen al FNA a la arquitectura SOA candidata.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w:t>
      </w:r>
      <w:r>
        <w:t xml:space="preserve"> </w:t>
      </w:r>
      <w:r>
        <w:rPr>
          <w:iCs/>
          <w:i/>
        </w:rPr>
        <w:t xml:space="preserve">hoja de ruta SOA del FNA</w:t>
      </w:r>
      <w:r>
        <w:t xml:space="preserve"> </w:t>
      </w:r>
      <w:r>
        <w:t xml:space="preserve">(producto 10 de esta fase), y cuya ejecución cerrará las brechas entre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31" w:name="justificación"/>
    <w:p>
      <w:pPr>
        <w:pStyle w:val="Ttulo2"/>
      </w:pPr>
      <w:r>
        <w:t xml:space="preserve">Justificación</w:t>
      </w:r>
    </w:p>
    <w:p>
      <w:pPr>
        <w:pStyle w:val="FirstParagraph"/>
      </w:pPr>
      <w:r>
        <w:t xml:space="preserve">Asegurar que la arquitectura SOA del Fondo apegada a la</w:t>
      </w:r>
      <w:r>
        <w:t xml:space="preserve"> </w:t>
      </w:r>
      <w:hyperlink r:id="rId30">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y que están diagramados en la arquitectura SOA candidata del FNA. Provee los paquetes de trabajo que garanticen (continuidad, orden e impacto) la realización de los cambios entre evoluciones de la arquitectura SOA del Fondo. Por último, el portafolio proporciona datos de entrada para los procesos de contratación y adjudicación futuros que el FNA considere para la implementación de los cambios.</w:t>
      </w:r>
    </w:p>
    <w:bookmarkEnd w:id="31"/>
    <w:bookmarkStart w:id="32" w:name="contenidos"/>
    <w:p>
      <w:pPr>
        <w:pStyle w:val="Ttulo2"/>
      </w:pPr>
      <w:r>
        <w:t xml:space="preserve">Contenidos</w:t>
      </w:r>
    </w:p>
    <w:p>
      <w:pPr>
        <w:numPr>
          <w:ilvl w:val="0"/>
          <w:numId w:val="1002"/>
        </w:numPr>
        <w:pStyle w:val="Compact"/>
      </w:pPr>
      <w:r>
        <w:t xml:space="preserve">Matriz de brechas de arquitectura SOA candidata del segmento FNA</w:t>
      </w:r>
    </w:p>
    <w:p>
      <w:pPr>
        <w:numPr>
          <w:ilvl w:val="0"/>
          <w:numId w:val="1002"/>
        </w:numPr>
        <w:pStyle w:val="Compact"/>
      </w:pPr>
      <w:r>
        <w:t xml:space="preserve">Lista de iniciativas y proyectos (paquetes de trabajo) del segmento FNA: ítems por retener, rediseñar, actualizar, retirar</w:t>
      </w:r>
    </w:p>
    <w:p>
      <w:pPr>
        <w:numPr>
          <w:ilvl w:val="0"/>
          <w:numId w:val="1002"/>
        </w:numPr>
        <w:pStyle w:val="Compact"/>
      </w:pPr>
      <w:r>
        <w:t xml:space="preserve">Análisis de impacto y dependencia entre los cambios en el segmento FNA</w:t>
      </w:r>
    </w:p>
    <w:p>
      <w:pPr>
        <w:numPr>
          <w:ilvl w:val="0"/>
          <w:numId w:val="1002"/>
        </w:numPr>
        <w:pStyle w:val="Compact"/>
      </w:pPr>
      <w:r>
        <w:t xml:space="preserve">Ficha descriptiva de proyectos para el segmento FNA (justificación)</w:t>
      </w:r>
    </w:p>
    <w:p>
      <w:pPr>
        <w:pStyle w:val="FirstParagraph"/>
      </w:pPr>
    </w:p>
    <w:bookmarkEnd w:id="32"/>
    <w:bookmarkStart w:id="34"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cc376ce del 20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34"/>
    <w:bookmarkStart w:id="42"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33">
        <w:r>
          <w:rPr>
            <w:rStyle w:val="Hipervnculo"/>
          </w:rPr>
          <w:t xml:space="preserve">04b.Resumen Fase 1</w:t>
        </w:r>
      </w:hyperlink>
      <w:r>
        <w:t xml:space="preserve">). Este análisis de brecha busca dos onjetivos concretos.</w:t>
      </w:r>
    </w:p>
    <w:p>
      <w:pPr>
        <w:pStyle w:val="Textoindependiente"/>
      </w:pPr>
    </w:p>
    <w:bookmarkStart w:id="35"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TI del FNA. El segundo objetivo es encontrar los brechas que mejor conecten con las problemáticas encontradas en las fases de este diagnóstico SOA.</w:t>
      </w:r>
    </w:p>
    <w:p>
      <w:pPr>
        <w:numPr>
          <w:ilvl w:val="0"/>
          <w:numId w:val="1004"/>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4"/>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35"/>
    <w:bookmarkStart w:id="40"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37" name="Picture"/>
            <a:graphic>
              <a:graphicData uri="http://schemas.openxmlformats.org/drawingml/2006/picture">
                <pic:pic>
                  <pic:nvPicPr>
                    <pic:cNvPr descr="images/brecha1.png" id="38" name="Picture"/>
                    <pic:cNvPicPr>
                      <a:picLocks noChangeArrowheads="1" noChangeAspect="1"/>
                    </pic:cNvPicPr>
                  </pic:nvPicPr>
                  <pic:blipFill>
                    <a:blip r:embed="rId36"/>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la versión 1.0, elaborada en la fase 1 de este diagnóstico, y la versión sigiuente, la 2.0, elaborada en la fase 2.</w:t>
      </w:r>
    </w:p>
    <w:p>
      <w:pPr>
        <w:pStyle w:val="Textoindependiente"/>
      </w:pPr>
      <w:r>
        <w:t xml:space="preserve">De las salidas de este método, la que más conecta con las expectativas es el de la matriz de brechas, que a la vez, se convierte en el portafolio de iniciativas y brechas, producto 9 (PR9), que es el principal de esta última fase del presente proyecto. Esta salida se complementa con otra: la de las estrategias preliminares de implementación de las brechas. Estas dos salidas las consideramos entre las más importantes que se desarrollanrán con la aplicación de este métrodo.</w:t>
      </w:r>
    </w:p>
    <w:p>
      <w:pPr>
        <w:pStyle w:val="Textoindependiente"/>
      </w:pPr>
    </w:p>
    <w:bookmarkEnd w:id="40"/>
    <w:bookmarkStart w:id="41" w:name="X2d77db18069ae4a22ab9ccba9b0a56290d33310"/>
    <w:p>
      <w:pPr>
        <w:pStyle w:val="Ttulo3"/>
      </w:pPr>
      <w:r>
        <w:t xml:space="preserve">Procedimiento para la Gestión de las Brechas FNA</w:t>
      </w:r>
    </w:p>
    <w:p>
      <w:pPr>
        <w:pStyle w:val="FirstParagraph"/>
      </w:pPr>
      <w:r>
        <w:t xml:space="preserve">…</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 (Deliverable):</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cc376ce del 20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1"/>
    <w:bookmarkEnd w:id="42"/>
    <w:bookmarkStart w:id="43" w:name="X704090cda0c11b61e04e379150c37ee0e4f69c2"/>
    <w:p>
      <w:pPr>
        <w:pStyle w:val="Ttulo2"/>
      </w:pPr>
      <w:r>
        <w:t xml:space="preserve">Matriz de brechas de arquitectura SOA candidata del segmento FNA</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 (Deliverable):</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cc376ce del 20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3"/>
    <w:bookmarkStart w:id="44" w:name="X980dcf6cf2a711417df6595d1be45bb7d576bf2"/>
    <w:p>
      <w:pPr>
        <w:pStyle w:val="Ttulo2"/>
      </w:pPr>
      <w:r>
        <w:t xml:space="preserve">Lista de iniciativas y Proyectos de Cierre de Brecha</w:t>
      </w:r>
    </w:p>
    <w:bookmarkEnd w:id="44"/>
    <w:bookmarkEnd w:id="45"/>
    <w:bookmarkStart w:id="46" w:name="fase-3-soa-objetivo-1"/>
    <w:p>
      <w:pPr>
        <w:pStyle w:val="Ttulo1"/>
      </w:pPr>
      <w:r>
        <w:t xml:space="preserve">Fase 3: SOA Objetivo</w:t>
      </w:r>
    </w:p>
    <w:bookmarkEnd w:id="46"/>
    <w:bookmarkStart w:id="47" w:name="X5c0c69e660e78a6abcb50f83e9ffaa519594cea"/>
    <w:p>
      <w:pPr>
        <w:pStyle w:val="Ttulo1"/>
      </w:pPr>
      <w:r>
        <w:t xml:space="preserve">Contenido de los Productos Contractuales, 181-2020</w:t>
      </w:r>
    </w:p>
    <w:bookmarkEnd w:id="47"/>
    <w:bookmarkStart w:id="67"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48" w:name="justificación-1"/>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48"/>
    <w:bookmarkStart w:id="49" w:name="contenidos-1"/>
    <w:p>
      <w:pPr>
        <w:pStyle w:val="Ttulo2"/>
      </w:pPr>
      <w:r>
        <w:t xml:space="preserve">Contenidos</w:t>
      </w:r>
    </w:p>
    <w:p>
      <w:pPr>
        <w:numPr>
          <w:ilvl w:val="0"/>
          <w:numId w:val="1005"/>
        </w:numPr>
        <w:pStyle w:val="Compact"/>
      </w:pPr>
      <w:r>
        <w:t xml:space="preserve">Hoja de ruta de los proyectos de cambio</w:t>
      </w:r>
    </w:p>
    <w:p>
      <w:pPr>
        <w:numPr>
          <w:ilvl w:val="0"/>
          <w:numId w:val="1005"/>
        </w:numPr>
        <w:pStyle w:val="Compact"/>
      </w:pPr>
      <w:r>
        <w:t xml:space="preserve">Estimaciones y análisis de impacto y dependencia entre los cambios en el segmento de la empresa</w:t>
      </w:r>
    </w:p>
    <w:p>
      <w:pPr>
        <w:numPr>
          <w:ilvl w:val="0"/>
          <w:numId w:val="1005"/>
        </w:numPr>
        <w:pStyle w:val="Compact"/>
      </w:pPr>
      <w:r>
        <w:t xml:space="preserve">Consideraciones para la ejecución de los primeros cambios</w:t>
      </w:r>
    </w:p>
    <w:p>
      <w:pPr>
        <w:numPr>
          <w:ilvl w:val="0"/>
          <w:numId w:val="1005"/>
        </w:numPr>
        <w:pStyle w:val="Compact"/>
      </w:pPr>
      <w:r>
        <w:t xml:space="preserve">Puntos de control en la ejecución de la hoja de ruta SOA</w:t>
      </w:r>
    </w:p>
    <w:p>
      <w:pPr>
        <w:pStyle w:val="FirstParagraph"/>
      </w:pPr>
    </w:p>
    <w:bookmarkEnd w:id="49"/>
    <w:bookmarkStart w:id="50" w:name="criterios-de-aceptación-1"/>
    <w:p>
      <w:pPr>
        <w:pStyle w:val="Ttulo2"/>
      </w:pPr>
      <w:r>
        <w:t xml:space="preserve">Criterios de Aceptación</w:t>
      </w:r>
    </w:p>
    <w:p>
      <w:pPr>
        <w:numPr>
          <w:ilvl w:val="0"/>
          <w:numId w:val="1006"/>
        </w:numPr>
        <w:pStyle w:val="Compact"/>
      </w:pPr>
      <w:r>
        <w:t xml:space="preserve">Lista de cambios para el segmento FNA: ítems incluídos, por mejorar, nuevos y eliminados</w:t>
      </w:r>
    </w:p>
    <w:p>
      <w:pPr>
        <w:numPr>
          <w:ilvl w:val="0"/>
          <w:numId w:val="1006"/>
        </w:numPr>
        <w:pStyle w:val="Compact"/>
      </w:pPr>
      <w:r>
        <w:t xml:space="preserve">Hoja de ruta preliminar hacia un objetivo de mejora</w:t>
      </w:r>
    </w:p>
    <w:p>
      <w:r>
        <w:pict>
          <v:rect style="width:0;height:1.5pt" o:hralign="center" o:hrstd="t" o:hr="t"/>
        </w:pict>
      </w:r>
    </w:p>
    <w:bookmarkEnd w:id="50"/>
    <w:bookmarkStart w:id="54" w:name="X3e5c6ef72c682473ee3f54882a0f30e89d1196f"/>
    <w:p>
      <w:pPr>
        <w:pStyle w:val="Ttulo2"/>
      </w:pPr>
      <w:r>
        <w:t xml:space="preserve">Resumen de Problemáticas del Diagnóstivo de Madurez SOA del FNA</w:t>
      </w:r>
    </w:p>
    <w:p>
      <w:pPr>
        <w:numPr>
          <w:ilvl w:val="0"/>
          <w:numId w:val="1007"/>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7"/>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7"/>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7"/>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52" name="Picture"/>
            <a:graphic>
              <a:graphicData uri="http://schemas.openxmlformats.org/drawingml/2006/picture">
                <pic:pic>
                  <pic:nvPicPr>
                    <pic:cNvPr descr="images/madurezInfo_graf.png" id="53" name="Picture"/>
                    <pic:cNvPicPr>
                      <a:picLocks noChangeArrowheads="1" noChangeAspect="1"/>
                    </pic:cNvPicPr>
                  </pic:nvPicPr>
                  <pic:blipFill>
                    <a:blip r:embed="rId51"/>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7"/>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7"/>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7"/>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54"/>
    <w:bookmarkStart w:id="58" w:name="análisis-de-las-fortalezas-soa-del-fna"/>
    <w:p>
      <w:pPr>
        <w:pStyle w:val="Ttulo2"/>
      </w:pPr>
      <w:r>
        <w:t xml:space="preserve">Análisis de las Fortalezas SOA del FNA</w:t>
      </w:r>
    </w:p>
    <w:p>
      <w:pPr>
        <w:numPr>
          <w:ilvl w:val="0"/>
          <w:numId w:val="1008"/>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8"/>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55">
        <w:r>
          <w:rPr>
            <w:rStyle w:val="Hipervnculo"/>
          </w:rPr>
          <w:t xml:space="preserve">N003e. Catálogo de Servicios FNA-1</w:t>
        </w:r>
      </w:hyperlink>
      <w:r>
        <w:t xml:space="preserve">, y</w:t>
      </w:r>
      <w:r>
        <w:t xml:space="preserve"> </w:t>
      </w:r>
      <w:hyperlink r:id="rId56">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8"/>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56">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8"/>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57">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8"/>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58"/>
    <w:bookmarkStart w:id="61"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59">
        <w:r>
          <w:rPr>
            <w:rStyle w:val="Hipervnculo"/>
          </w:rPr>
          <w:t xml:space="preserve">Resultado Diagnóstico Situación Actual-3</w:t>
        </w:r>
      </w:hyperlink>
      <w:r>
        <w:t xml:space="preserve">, la prevalencia del enfoque ascendente, esto es desde el provedor hacia el negocio</w:t>
      </w:r>
      <w:r>
        <w:t xml:space="preserve"> </w:t>
      </w:r>
      <w:hyperlink r:id="rId60">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61"/>
    <w:bookmarkStart w:id="63"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62">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39">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63"/>
    <w:bookmarkStart w:id="64"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64"/>
    <w:bookmarkStart w:id="65"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65"/>
    <w:bookmarkStart w:id="66"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39">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9"/>
        </w:numPr>
        <w:pStyle w:val="Compact"/>
      </w:pPr>
      <w:r>
        <w:t xml:space="preserve">Redundancias y el atraso de la información de los modelos y conceptos.</w:t>
      </w:r>
    </w:p>
    <w:p>
      <w:pPr>
        <w:numPr>
          <w:ilvl w:val="0"/>
          <w:numId w:val="1009"/>
        </w:numPr>
        <w:pStyle w:val="Compact"/>
      </w:pPr>
      <w:r>
        <w:t xml:space="preserve">Incompletitud en el modelamiento de conceptos, como las capacidades de negocio, o los procesos de negocio del FNA.</w:t>
      </w:r>
    </w:p>
    <w:p>
      <w:pPr>
        <w:numPr>
          <w:ilvl w:val="0"/>
          <w:numId w:val="1009"/>
        </w:numPr>
        <w:pStyle w:val="Compact"/>
      </w:pPr>
      <w:r>
        <w:t xml:space="preserve">Inconsistencia en el lenguaje de modelado. Falta estandarizar nombres y formas de representación de los mismo conceptos entre modelos.</w:t>
      </w:r>
    </w:p>
    <w:bookmarkEnd w:id="66"/>
    <w:bookmarkEnd w:id="6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51" Target="media/rId51.png" /><Relationship Type="http://schemas.openxmlformats.org/officeDocument/2006/relationships/hyperlink" Id="rId39" Target="" TargetMode="External" /><Relationship Type="http://schemas.openxmlformats.org/officeDocument/2006/relationships/hyperlink" Id="rId57" Target="N003e.Cat&#225;logodeServicios.md" TargetMode="External" /><Relationship Type="http://schemas.openxmlformats.org/officeDocument/2006/relationships/hyperlink" Id="rId55" Target="N003e.Cat&#225;logodeServiciosFNA-1.md" TargetMode="External" /><Relationship Type="http://schemas.openxmlformats.org/officeDocument/2006/relationships/hyperlink" Id="rId56"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62" Target="ResultadoDiagn&#243;sticoSituaci&#243;nActual-1" TargetMode="External" /><Relationship Type="http://schemas.openxmlformats.org/officeDocument/2006/relationships/hyperlink" Id="rId60" Target="ResultadoDiagn&#243;sticoSituaci&#243;nActual-1a.md" TargetMode="External" /><Relationship Type="http://schemas.openxmlformats.org/officeDocument/2006/relationships/hyperlink" Id="rId59"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cc376ce21f19768fa3aae527348cba449bf352cd" TargetMode="External" /><Relationship Type="http://schemas.openxmlformats.org/officeDocument/2006/relationships/hyperlink" Id="rId20" Target="https://hwong23.github.io/fna-devdoc-f3/v/cc376ce21f19768fa3aae527348cba449bf352cd/" TargetMode="External" /><Relationship Type="http://schemas.openxmlformats.org/officeDocument/2006/relationships/hyperlink" Id="rId30"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57" Target="N003e.Cat&#225;logodeServicios.md" TargetMode="External" /><Relationship Type="http://schemas.openxmlformats.org/officeDocument/2006/relationships/hyperlink" Id="rId55" Target="N003e.Cat&#225;logodeServiciosFNA-1.md" TargetMode="External" /><Relationship Type="http://schemas.openxmlformats.org/officeDocument/2006/relationships/hyperlink" Id="rId56"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62" Target="ResultadoDiagn&#243;sticoSituaci&#243;nActual-1" TargetMode="External" /><Relationship Type="http://schemas.openxmlformats.org/officeDocument/2006/relationships/hyperlink" Id="rId60" Target="ResultadoDiagn&#243;sticoSituaci&#243;nActual-1a.md" TargetMode="External" /><Relationship Type="http://schemas.openxmlformats.org/officeDocument/2006/relationships/hyperlink" Id="rId59"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cc376ce21f19768fa3aae527348cba449bf352cd" TargetMode="External" /><Relationship Type="http://schemas.openxmlformats.org/officeDocument/2006/relationships/hyperlink" Id="rId20" Target="https://hwong23.github.io/fna-devdoc-f3/v/cc376ce21f19768fa3aae527348cba449bf352cd/" TargetMode="External" /><Relationship Type="http://schemas.openxmlformats.org/officeDocument/2006/relationships/hyperlink" Id="rId30"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2023-02-20T19:24:12Z</dcterms:created>
  <dcterms:modified xsi:type="dcterms:W3CDTF">2023-02-20T19:24:12Z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2023-02-20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