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5729dbf0db6066b30f53e9af5c9edee5e592600"/>
    <w:p>
      <w:pPr>
        <w:pStyle w:val="Ttulo1"/>
      </w:pPr>
      <w:r>
        <w:t xml:space="preserve">Producto 6: PR6.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estos mismos pueden ser traducidos en futuras iniciativas de una hoja de ruta de mejora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Niveles de adopción SOA en las organizaciones</w:t>
      </w:r>
    </w:p>
    <w:p>
      <w:pPr>
        <w:numPr>
          <w:ilvl w:val="0"/>
          <w:numId w:val="1001"/>
        </w:numPr>
        <w:pStyle w:val="Compact"/>
      </w:pPr>
      <w:r>
        <w:t xml:space="preserve">Focos de implementación SOA que pueden lograr las empresas</w:t>
      </w:r>
    </w:p>
    <w:p>
      <w:pPr>
        <w:numPr>
          <w:ilvl w:val="0"/>
          <w:numId w:val="1001"/>
        </w:numPr>
        <w:pStyle w:val="Compact"/>
      </w:pPr>
      <w:r>
        <w:t xml:space="preserve">Retornos de inversión (ROI) SOA posibles</w:t>
      </w:r>
    </w:p>
    <w:p>
      <w:pPr>
        <w:numPr>
          <w:ilvl w:val="0"/>
          <w:numId w:val="1001"/>
        </w:numPr>
        <w:pStyle w:val="Compact"/>
      </w:pPr>
      <w:r>
        <w:t xml:space="preserve">Retos que las empresas han superado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Ventajas de rendimiento percibidas en las empresas por la implementación SOA</w:t>
      </w:r>
    </w:p>
    <w:p>
      <w:pPr>
        <w:numPr>
          <w:ilvl w:val="0"/>
          <w:numId w:val="1001"/>
        </w:numPr>
        <w:pStyle w:val="Compact"/>
      </w:pPr>
      <w:r>
        <w:t xml:space="preserve">Conclusiones de la comparativa: oportunidades SOA para 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2023-01-10T01:22:16Z</dcterms:created>
  <dcterms:modified xsi:type="dcterms:W3CDTF">2023-01-10T01:22:16Z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