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producto-8-pr8.-arquitectura-de-solución"/>
    <w:p>
      <w:pPr>
        <w:pStyle w:val="Ttulo1"/>
      </w:pPr>
      <w:r>
        <w:t xml:space="preserve">Producto 8: PR8. Arquitectura de Solución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…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Uno</w:t>
      </w:r>
    </w:p>
    <w:p>
      <w:pPr>
        <w:numPr>
          <w:ilvl w:val="0"/>
          <w:numId w:val="1001"/>
        </w:numPr>
        <w:pStyle w:val="Compact"/>
      </w:pPr>
      <w:r>
        <w:t xml:space="preserve">Dos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Uno</w:t>
      </w:r>
    </w:p>
    <w:p>
      <w:pPr>
        <w:numPr>
          <w:ilvl w:val="0"/>
          <w:numId w:val="1002"/>
        </w:numPr>
        <w:pStyle w:val="Compact"/>
      </w:pPr>
      <w:r>
        <w:t xml:space="preserve">Dos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2023-01-07T03:47:35Z</dcterms:created>
  <dcterms:modified xsi:type="dcterms:W3CDTF">2023-01-07T03:47:35Z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