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4"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bookmarkEnd w:id="24"/>
    <w:bookmarkEnd w:id="25"/>
    <w:bookmarkStart w:id="26" w:name="fase-1-estado-soa-actual-1"/>
    <w:p>
      <w:pPr>
        <w:pStyle w:val="Ttulo1"/>
      </w:pPr>
      <w:r>
        <w:t xml:space="preserve">Fase 1: Estado SOA Actual</w:t>
      </w:r>
    </w:p>
    <w:bookmarkEnd w:id="26"/>
    <w:bookmarkStart w:id="27" w:name="contenido-de-los-productos-del-alcance-1"/>
    <w:p>
      <w:pPr>
        <w:pStyle w:val="Ttulo1"/>
      </w:pPr>
      <w:r>
        <w:t xml:space="preserve">Contenido de los Productos del Alcance</w:t>
      </w:r>
    </w:p>
    <w:bookmarkEnd w:id="27"/>
    <w:bookmarkStart w:id="31"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8" w:name="justificación-1"/>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8"/>
    <w:bookmarkStart w:id="29" w:name="contenidos-1"/>
    <w:p>
      <w:pPr>
        <w:pStyle w:val="Ttulo2"/>
      </w:pPr>
      <w:r>
        <w:t xml:space="preserve">Contenidos</w:t>
      </w:r>
    </w:p>
    <w:p>
      <w:pPr>
        <w:numPr>
          <w:ilvl w:val="0"/>
          <w:numId w:val="1009"/>
        </w:numPr>
        <w:pStyle w:val="Compact"/>
      </w:pPr>
      <w:r>
        <w:t xml:space="preserve">Resultados y métricas del diagnóstico de madurez SOA</w:t>
      </w:r>
    </w:p>
    <w:p>
      <w:pPr>
        <w:numPr>
          <w:ilvl w:val="0"/>
          <w:numId w:val="1009"/>
        </w:numPr>
        <w:pStyle w:val="Compact"/>
      </w:pPr>
      <w:r>
        <w:t xml:space="preserve">Consideraciones y conclusiones respecto a la arquitectura estándar SOA</w:t>
      </w:r>
    </w:p>
    <w:p>
      <w:pPr>
        <w:numPr>
          <w:ilvl w:val="0"/>
          <w:numId w:val="1009"/>
        </w:numPr>
        <w:pStyle w:val="Compact"/>
      </w:pPr>
      <w:r>
        <w:t xml:space="preserve">Consideraciones y conclusiones respecto de las necesidades de integración</w:t>
      </w:r>
    </w:p>
    <w:p>
      <w:pPr>
        <w:numPr>
          <w:ilvl w:val="0"/>
          <w:numId w:val="1009"/>
        </w:numPr>
        <w:pStyle w:val="Compact"/>
      </w:pPr>
      <w:r>
        <w:t xml:space="preserve">Consideraciones y conclusiones respecto al gobierno SOA</w:t>
      </w:r>
    </w:p>
    <w:p>
      <w:pPr>
        <w:numPr>
          <w:ilvl w:val="0"/>
          <w:numId w:val="1009"/>
        </w:numPr>
        <w:pStyle w:val="Compact"/>
      </w:pPr>
      <w:r>
        <w:t xml:space="preserve">Implicaciones a otros proyectos del Fondo</w:t>
      </w:r>
    </w:p>
    <w:bookmarkEnd w:id="29"/>
    <w:bookmarkStart w:id="30" w:name="criterios-de-aceptación-1"/>
    <w:p>
      <w:pPr>
        <w:pStyle w:val="Ttulo2"/>
      </w:pPr>
      <w:r>
        <w:t xml:space="preserve">Criterios de Aceptación</w:t>
      </w:r>
    </w:p>
    <w:p>
      <w:pPr>
        <w:numPr>
          <w:ilvl w:val="0"/>
          <w:numId w:val="1010"/>
        </w:numPr>
        <w:pStyle w:val="Compact"/>
      </w:pPr>
      <w:r>
        <w:t xml:space="preserve">Análisis del nivel de madurez SOA del FNA teniendo en cuenta las definiciones y criterios de evaluación de propuestas por el modelo OSIMM</w:t>
      </w:r>
      <w:r>
        <w:br/>
      </w:r>
    </w:p>
    <w:p>
      <w:pPr>
        <w:numPr>
          <w:ilvl w:val="0"/>
          <w:numId w:val="1010"/>
        </w:numPr>
        <w:pStyle w:val="Compact"/>
      </w:pPr>
      <w:r>
        <w:t xml:space="preserve">Análisis de las necesidades de integración y Gobierno SOA</w:t>
      </w:r>
    </w:p>
    <w:bookmarkEnd w:id="30"/>
    <w:bookmarkEnd w:id="31"/>
    <w:bookmarkStart w:id="32" w:name="fase-1-estado-soa-actual-2"/>
    <w:p>
      <w:pPr>
        <w:pStyle w:val="Ttulo1"/>
      </w:pPr>
      <w:r>
        <w:t xml:space="preserve">Fase 1: Estado SOA Actual</w:t>
      </w:r>
    </w:p>
    <w:bookmarkEnd w:id="32"/>
    <w:bookmarkStart w:id="33" w:name="contenido-de-los-productos-del-alcance-2"/>
    <w:p>
      <w:pPr>
        <w:pStyle w:val="Ttulo1"/>
      </w:pPr>
      <w:r>
        <w:t xml:space="preserve">Contenido de los Productos del Alcance</w:t>
      </w:r>
    </w:p>
    <w:bookmarkEnd w:id="33"/>
    <w:bookmarkStart w:id="37"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34" w:name="justificación-2"/>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34"/>
    <w:bookmarkStart w:id="35" w:name="contenidos-2"/>
    <w:p>
      <w:pPr>
        <w:pStyle w:val="Ttulo2"/>
      </w:pPr>
      <w:r>
        <w:t xml:space="preserve">Contenidos</w:t>
      </w:r>
    </w:p>
    <w:p>
      <w:pPr>
        <w:numPr>
          <w:ilvl w:val="0"/>
          <w:numId w:val="1011"/>
        </w:numPr>
        <w:pStyle w:val="Compact"/>
      </w:pPr>
      <w:r>
        <w:t xml:space="preserve">Análisis de alineación negocio / TI con SOA (VAL IT / ROI Model)</w:t>
      </w:r>
    </w:p>
    <w:p>
      <w:pPr>
        <w:numPr>
          <w:ilvl w:val="0"/>
          <w:numId w:val="1011"/>
        </w:numPr>
        <w:pStyle w:val="Compact"/>
      </w:pPr>
      <w:r>
        <w:t xml:space="preserve">Análisis de huella y dependencia tecnologica SOA del FNA</w:t>
      </w:r>
    </w:p>
    <w:p>
      <w:pPr>
        <w:numPr>
          <w:ilvl w:val="0"/>
          <w:numId w:val="1011"/>
        </w:numPr>
        <w:pStyle w:val="Compact"/>
      </w:pPr>
      <w:r>
        <w:t xml:space="preserve">Análisis de las fortalezas SOA del FNA</w:t>
      </w:r>
    </w:p>
    <w:p>
      <w:pPr>
        <w:numPr>
          <w:ilvl w:val="0"/>
          <w:numId w:val="1011"/>
        </w:numPr>
        <w:pStyle w:val="Compact"/>
      </w:pPr>
      <w:r>
        <w:t xml:space="preserve">Análisis de gobierno SOA (Gov and Interop Framework)</w:t>
      </w:r>
    </w:p>
    <w:p>
      <w:pPr>
        <w:numPr>
          <w:ilvl w:val="0"/>
          <w:numId w:val="1011"/>
        </w:numPr>
        <w:pStyle w:val="Compact"/>
      </w:pPr>
      <w:r>
        <w:t xml:space="preserve">Análisis de atributos de calidad SOA</w:t>
      </w:r>
    </w:p>
    <w:p>
      <w:pPr>
        <w:numPr>
          <w:ilvl w:val="0"/>
          <w:numId w:val="1011"/>
        </w:numPr>
        <w:pStyle w:val="Compact"/>
      </w:pPr>
      <w:r>
        <w:t xml:space="preserve">Oportunidades y beneficios SOA futuros. Requerimientos SOA (VAL IT)</w:t>
      </w:r>
    </w:p>
    <w:bookmarkEnd w:id="35"/>
    <w:bookmarkStart w:id="36" w:name="criterios-de-aceptación-2"/>
    <w:p>
      <w:pPr>
        <w:pStyle w:val="Ttulo2"/>
      </w:pPr>
      <w:r>
        <w:t xml:space="preserve">Criterios de Aceptación</w:t>
      </w:r>
    </w:p>
    <w:p>
      <w:pPr>
        <w:numPr>
          <w:ilvl w:val="0"/>
          <w:numId w:val="101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12"/>
        </w:numPr>
        <w:pStyle w:val="Compact"/>
      </w:pPr>
      <w:r>
        <w:t xml:space="preserve">Presentación y descripción de oportunidades de mejora y posibles nuevos requerimientos relacionados al ecosistema SOA</w:t>
      </w:r>
    </w:p>
    <w:bookmarkEnd w:id="36"/>
    <w:bookmarkEnd w:id="37"/>
    <w:bookmarkStart w:id="38" w:name="fase-1-estado-soa-actual-3"/>
    <w:p>
      <w:pPr>
        <w:pStyle w:val="Ttulo1"/>
      </w:pPr>
      <w:r>
        <w:t xml:space="preserve">Fase 1: Estado SOA Actual</w:t>
      </w:r>
    </w:p>
    <w:bookmarkEnd w:id="38"/>
    <w:bookmarkStart w:id="39" w:name="Xde28353806a99316a61e306cd812fd556109b6d"/>
    <w:p>
      <w:pPr>
        <w:pStyle w:val="Ttulo1"/>
      </w:pPr>
      <w:r>
        <w:t xml:space="preserve">Contenido de los Productos Contractuales, 181-2020</w:t>
      </w:r>
    </w:p>
    <w:bookmarkEnd w:id="39"/>
    <w:bookmarkStart w:id="43" w:name="Xc2ecf036857e380cd439c2cfc7cf3d087b85ac8"/>
    <w:p>
      <w:pPr>
        <w:pStyle w:val="Ttulo1"/>
      </w:pPr>
      <w:r>
        <w:t xml:space="preserve">Producto 4: PR4. Marcos Regulatorios, Normatividad y Referencias Tecnológicas</w:t>
      </w:r>
    </w:p>
    <w:p>
      <w:pPr>
        <w:pStyle w:val="FirstParagraph"/>
      </w:pPr>
      <w:r>
        <w:t xml:space="preserve">Describir y justificar la aplicación de los marcos legales seleccionados, restricciones del sector, y referentes tecnológicos aplicables el Fondo.</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0" w:name="justificación-3"/>
    <w:p>
      <w:pPr>
        <w:pStyle w:val="Ttulo2"/>
      </w:pPr>
      <w:r>
        <w:t xml:space="preserve">Justificación</w:t>
      </w:r>
    </w:p>
    <w:p>
      <w:pPr>
        <w:pStyle w:val="FirstParagraph"/>
      </w:pPr>
      <w:r>
        <w:t xml:space="preserve">Identificar restricciones que modifiquen o afecten a las iniciativas y propuestas de solución SOA para el FNA.</w:t>
      </w:r>
    </w:p>
    <w:p>
      <w:pPr>
        <w:pStyle w:val="Textoindependiente"/>
      </w:pPr>
    </w:p>
    <w:bookmarkEnd w:id="40"/>
    <w:bookmarkStart w:id="41" w:name="contenidos-3"/>
    <w:p>
      <w:pPr>
        <w:pStyle w:val="Ttulo2"/>
      </w:pPr>
      <w:r>
        <w:t xml:space="preserve">Contenidos</w:t>
      </w:r>
    </w:p>
    <w:p>
      <w:pPr>
        <w:numPr>
          <w:ilvl w:val="0"/>
          <w:numId w:val="1013"/>
        </w:numPr>
        <w:pStyle w:val="Compact"/>
      </w:pPr>
      <w:r>
        <w:t xml:space="preserve">Lista de normatividad pública del sector ahorro</w:t>
      </w:r>
    </w:p>
    <w:p>
      <w:pPr>
        <w:numPr>
          <w:ilvl w:val="1"/>
          <w:numId w:val="1014"/>
        </w:numPr>
        <w:pStyle w:val="Compact"/>
      </w:pPr>
      <w:r>
        <w:t xml:space="preserve">Justificación de la selección de las normas</w:t>
      </w:r>
    </w:p>
    <w:p>
      <w:pPr>
        <w:numPr>
          <w:ilvl w:val="1"/>
          <w:numId w:val="1014"/>
        </w:numPr>
        <w:pStyle w:val="Compact"/>
      </w:pPr>
      <w:r>
        <w:t xml:space="preserve">Implicaciones para las capacidades SOA del FNA</w:t>
      </w:r>
    </w:p>
    <w:p>
      <w:pPr>
        <w:numPr>
          <w:ilvl w:val="0"/>
          <w:numId w:val="1013"/>
        </w:numPr>
        <w:pStyle w:val="Compact"/>
      </w:pPr>
      <w:r>
        <w:t xml:space="preserve">Referencias tecnológicas de la industria</w:t>
      </w:r>
    </w:p>
    <w:p>
      <w:pPr>
        <w:numPr>
          <w:ilvl w:val="1"/>
          <w:numId w:val="1015"/>
        </w:numPr>
        <w:pStyle w:val="Compact"/>
      </w:pPr>
      <w:r>
        <w:t xml:space="preserve">Justificación de la selección de las referencias</w:t>
      </w:r>
    </w:p>
    <w:p>
      <w:pPr>
        <w:numPr>
          <w:ilvl w:val="1"/>
          <w:numId w:val="1015"/>
        </w:numPr>
        <w:pStyle w:val="Compact"/>
      </w:pPr>
      <w:r>
        <w:t xml:space="preserve">Implicaciones para las capacidades SOA del FNA</w:t>
      </w:r>
    </w:p>
    <w:p>
      <w:pPr>
        <w:pStyle w:val="FirstParagraph"/>
      </w:pPr>
    </w:p>
    <w:bookmarkEnd w:id="41"/>
    <w:bookmarkStart w:id="42" w:name="criterios-de-aceptación-3"/>
    <w:p>
      <w:pPr>
        <w:pStyle w:val="Ttulo2"/>
      </w:pPr>
      <w:r>
        <w:t xml:space="preserve">Criterios de Aceptación</w:t>
      </w:r>
    </w:p>
    <w:p>
      <w:pPr>
        <w:numPr>
          <w:ilvl w:val="0"/>
          <w:numId w:val="1016"/>
        </w:numPr>
        <w:pStyle w:val="Compact"/>
      </w:pPr>
      <w:r>
        <w:t xml:space="preserve">Correspondencia entre las marcos regulatorios, normas y referencias seleccionadas con los aspectos operativos o misionales del FNA</w:t>
      </w:r>
    </w:p>
    <w:p>
      <w:pPr>
        <w:numPr>
          <w:ilvl w:val="0"/>
          <w:numId w:val="1016"/>
        </w:numPr>
        <w:pStyle w:val="Compact"/>
      </w:pPr>
      <w:r>
        <w:t xml:space="preserve">Identificacion de implicaciones positivas (o negativas) para el Fondo</w:t>
      </w:r>
    </w:p>
    <w:p>
      <w:r>
        <w:pict>
          <v:rect style="width:0;height:1.5pt" o:hralign="center" o:hrstd="t" o:hr="t"/>
        </w:pict>
      </w:r>
    </w:p>
    <w:bookmarkEnd w:id="42"/>
    <w:bookmarkEnd w:id="43"/>
    <w:bookmarkStart w:id="44" w:name="fase-1-estado-soa-actual-4"/>
    <w:p>
      <w:pPr>
        <w:pStyle w:val="Ttulo1"/>
      </w:pPr>
      <w:r>
        <w:t xml:space="preserve">Fase 1: Estado SOA Actual</w:t>
      </w:r>
    </w:p>
    <w:bookmarkEnd w:id="44"/>
    <w:bookmarkStart w:id="45" w:name="X5c0c69e660e78a6abcb50f83e9ffaa519594cea"/>
    <w:p>
      <w:pPr>
        <w:pStyle w:val="Ttulo1"/>
      </w:pPr>
      <w:r>
        <w:t xml:space="preserve">Contenido de los Productos Contractuales, 181-2020</w:t>
      </w:r>
    </w:p>
    <w:bookmarkEnd w:id="45"/>
    <w:bookmarkStart w:id="49" w:name="Xcfa40d899d0229d997c64eecb21688676ada7cf"/>
    <w:p>
      <w:pPr>
        <w:pStyle w:val="Ttulo1"/>
      </w:pPr>
      <w:r>
        <w:t xml:space="preserve">Producto 5: PR5.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46" w:name="justificación-4"/>
    <w:p>
      <w:pPr>
        <w:pStyle w:val="Ttulo2"/>
      </w:pPr>
      <w:r>
        <w:t xml:space="preserve">Justificación</w:t>
      </w:r>
    </w:p>
    <w:p>
      <w:pPr>
        <w:pStyle w:val="FirstParagraph"/>
      </w:pPr>
      <w:r>
        <w:t xml:space="preserve">Identificar los avances en el desarrollo SOA que impulsen a las iniciativas y propuestas de solución SOA para el FNA.</w:t>
      </w:r>
    </w:p>
    <w:p>
      <w:pPr>
        <w:pStyle w:val="Textoindependiente"/>
      </w:pPr>
    </w:p>
    <w:bookmarkEnd w:id="46"/>
    <w:bookmarkStart w:id="47" w:name="contenidos-4"/>
    <w:p>
      <w:pPr>
        <w:pStyle w:val="Ttulo2"/>
      </w:pPr>
      <w:r>
        <w:t xml:space="preserve">Contenidos</w:t>
      </w:r>
    </w:p>
    <w:p>
      <w:pPr>
        <w:numPr>
          <w:ilvl w:val="0"/>
          <w:numId w:val="1017"/>
        </w:numPr>
        <w:pStyle w:val="Compact"/>
      </w:pPr>
      <w:r>
        <w:t xml:space="preserve">Lista tecnologías SOA afines al Fondo</w:t>
      </w:r>
    </w:p>
    <w:p>
      <w:pPr>
        <w:numPr>
          <w:ilvl w:val="0"/>
          <w:numId w:val="1017"/>
        </w:numPr>
        <w:pStyle w:val="Compact"/>
      </w:pPr>
      <w:r>
        <w:t xml:space="preserve">Lista de beneficios al FNA por las tecnologías seleccionadas</w:t>
      </w:r>
    </w:p>
    <w:p>
      <w:pPr>
        <w:numPr>
          <w:ilvl w:val="0"/>
          <w:numId w:val="1017"/>
        </w:numPr>
        <w:pStyle w:val="Compact"/>
      </w:pPr>
      <w:r>
        <w:t xml:space="preserve">Implicaciones para la adquisición y adopción tecnológica</w:t>
      </w:r>
    </w:p>
    <w:p>
      <w:pPr>
        <w:pStyle w:val="FirstParagraph"/>
      </w:pPr>
    </w:p>
    <w:bookmarkEnd w:id="47"/>
    <w:bookmarkStart w:id="48" w:name="criterios-de-aceptación-4"/>
    <w:p>
      <w:pPr>
        <w:pStyle w:val="Ttulo2"/>
      </w:pPr>
      <w:r>
        <w:t xml:space="preserve">Criterios de Aceptación</w:t>
      </w:r>
    </w:p>
    <w:p>
      <w:pPr>
        <w:numPr>
          <w:ilvl w:val="0"/>
          <w:numId w:val="1018"/>
        </w:numPr>
        <w:pStyle w:val="Compact"/>
      </w:pPr>
      <w:r>
        <w:t xml:space="preserve">Evaluación e Identificación de la tecnología SOA que mejor se alinea con los objetivos del proyecto.</w:t>
      </w:r>
    </w:p>
    <w:p>
      <w:pPr>
        <w:numPr>
          <w:ilvl w:val="0"/>
          <w:numId w:val="1018"/>
        </w:numPr>
        <w:pStyle w:val="Compact"/>
      </w:pPr>
      <w:r>
        <w:t xml:space="preserve">Presentación de una arquitectura de solución de Alto Nivel</w:t>
      </w:r>
    </w:p>
    <w:p>
      <w:r>
        <w:pict>
          <v:rect style="width:0;height:1.5pt" o:hralign="center" o:hrstd="t" o:hr="t"/>
        </w:pict>
      </w:r>
    </w:p>
    <w:bookmarkEnd w:id="48"/>
    <w:bookmarkEnd w:id="49"/>
    <w:bookmarkStart w:id="50" w:name="fase-1-estado-soa-actual-5"/>
    <w:p>
      <w:pPr>
        <w:pStyle w:val="Ttulo1"/>
      </w:pPr>
      <w:r>
        <w:t xml:space="preserve">Fase 1: Estado SOA Actual</w:t>
      </w:r>
    </w:p>
    <w:bookmarkEnd w:id="50"/>
    <w:bookmarkStart w:id="51" w:name="X024845d8147b634bd34f6993612268e32f0d607"/>
    <w:p>
      <w:pPr>
        <w:pStyle w:val="Ttulo1"/>
      </w:pPr>
      <w:r>
        <w:t xml:space="preserve">Contenido de los Productos Contractuales, 181-2020</w:t>
      </w:r>
    </w:p>
    <w:bookmarkEnd w:id="51"/>
    <w:bookmarkStart w:id="5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2" w:name="justificación-5"/>
    <w:p>
      <w:pPr>
        <w:pStyle w:val="Ttulo2"/>
      </w:pPr>
      <w:r>
        <w:t xml:space="preserve">Justificación</w:t>
      </w:r>
    </w:p>
    <w:p>
      <w:pPr>
        <w:pStyle w:val="FirstParagraph"/>
      </w:pPr>
      <w:r>
        <w:t xml:space="preserve">La comparativa SOA de la industria proveerá al Fondo de hallazgos aplicables a sus procesos y productos. A la vez, estos mismos pueden ser traducidos en futuras iniciativas de una hoja de ruta de mejora tanto del gobierno como de los procesos SOA del Fondo.</w:t>
      </w:r>
    </w:p>
    <w:bookmarkEnd w:id="52"/>
    <w:bookmarkStart w:id="53" w:name="contenidos-5"/>
    <w:p>
      <w:pPr>
        <w:pStyle w:val="Ttulo2"/>
      </w:pPr>
      <w:r>
        <w:t xml:space="preserve">Contenidos</w:t>
      </w:r>
    </w:p>
    <w:p>
      <w:pPr>
        <w:numPr>
          <w:ilvl w:val="0"/>
          <w:numId w:val="1019"/>
        </w:numPr>
        <w:pStyle w:val="Compact"/>
      </w:pPr>
      <w:r>
        <w:t xml:space="preserve">Niveles de adopción SOA en las organizaciones</w:t>
      </w:r>
    </w:p>
    <w:p>
      <w:pPr>
        <w:numPr>
          <w:ilvl w:val="0"/>
          <w:numId w:val="1019"/>
        </w:numPr>
        <w:pStyle w:val="Compact"/>
      </w:pPr>
      <w:r>
        <w:t xml:space="preserve">Focos de implementación SOA que pueden lograr las empresas</w:t>
      </w:r>
    </w:p>
    <w:p>
      <w:pPr>
        <w:numPr>
          <w:ilvl w:val="0"/>
          <w:numId w:val="1019"/>
        </w:numPr>
        <w:pStyle w:val="Compact"/>
      </w:pPr>
      <w:r>
        <w:t xml:space="preserve">Retornos de inversión (ROI) SOA posibles</w:t>
      </w:r>
    </w:p>
    <w:p>
      <w:pPr>
        <w:numPr>
          <w:ilvl w:val="0"/>
          <w:numId w:val="1019"/>
        </w:numPr>
        <w:pStyle w:val="Compact"/>
      </w:pPr>
      <w:r>
        <w:t xml:space="preserve">Retos que las empresas han superado por la implementación SOA</w:t>
      </w:r>
    </w:p>
    <w:p>
      <w:pPr>
        <w:numPr>
          <w:ilvl w:val="0"/>
          <w:numId w:val="1019"/>
        </w:numPr>
        <w:pStyle w:val="Compact"/>
      </w:pPr>
      <w:r>
        <w:t xml:space="preserve">Ventajas de rendimiento percibidas en las empresas por la implementación SOA</w:t>
      </w:r>
    </w:p>
    <w:p>
      <w:pPr>
        <w:numPr>
          <w:ilvl w:val="0"/>
          <w:numId w:val="1019"/>
        </w:numPr>
        <w:pStyle w:val="Compact"/>
      </w:pPr>
      <w:r>
        <w:t xml:space="preserve">Conclusiones de la comparativa: oportunidades SOA para el FNA</w:t>
      </w:r>
    </w:p>
    <w:p>
      <w:pPr>
        <w:pStyle w:val="FirstParagraph"/>
      </w:pPr>
    </w:p>
    <w:bookmarkEnd w:id="53"/>
    <w:bookmarkStart w:id="54" w:name="criterios-de-aceptación-5"/>
    <w:p>
      <w:pPr>
        <w:pStyle w:val="Ttulo2"/>
      </w:pPr>
      <w:r>
        <w:t xml:space="preserve">Criterios de Aceptación</w:t>
      </w:r>
    </w:p>
    <w:p>
      <w:pPr>
        <w:numPr>
          <w:ilvl w:val="0"/>
          <w:numId w:val="1020"/>
        </w:numPr>
        <w:pStyle w:val="Compact"/>
      </w:pPr>
      <w:r>
        <w:t xml:space="preserve">Lista de oportunidades e iniciativas ralizables por el FNA</w:t>
      </w:r>
    </w:p>
    <w:p>
      <w:pPr>
        <w:numPr>
          <w:ilvl w:val="0"/>
          <w:numId w:val="1020"/>
        </w:numPr>
        <w:pStyle w:val="Compact"/>
      </w:pPr>
      <w:r>
        <w:t xml:space="preserve">Mejoras visibles para las capacidades de la arquitectura SOA del Fondo</w:t>
      </w:r>
    </w:p>
    <w:p>
      <w:r>
        <w:pict>
          <v:rect style="width:0;height:1.5pt" o:hralign="center" o:hrstd="t" o:hr="t"/>
        </w:pict>
      </w:r>
    </w:p>
    <w:bookmarkEnd w:id="54"/>
    <w:bookmarkEnd w:id="55"/>
    <w:bookmarkStart w:id="56" w:name="fase-2-soa-objetivo"/>
    <w:p>
      <w:pPr>
        <w:pStyle w:val="Ttulo1"/>
      </w:pPr>
      <w:r>
        <w:t xml:space="preserve">Fase 2: SOA Objetivo</w:t>
      </w:r>
    </w:p>
    <w:bookmarkEnd w:id="56"/>
    <w:bookmarkStart w:id="57" w:name="X07b3a00b5f5fc91de94900ce5498c32360db804"/>
    <w:p>
      <w:pPr>
        <w:pStyle w:val="Ttulo1"/>
      </w:pPr>
      <w:r>
        <w:t xml:space="preserve">Contenido de los Productos Contractuales, 181-2020</w:t>
      </w:r>
    </w:p>
    <w:bookmarkEnd w:id="57"/>
    <w:bookmarkStart w:id="61" w:name="producto-7-pr7.-gobierno-soa"/>
    <w:p>
      <w:pPr>
        <w:pStyle w:val="Ttulo1"/>
      </w:pPr>
      <w:r>
        <w:t xml:space="preserve">Producto 7: PR7. Gobierno SOA</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58" w:name="justificación-6"/>
    <w:p>
      <w:pPr>
        <w:pStyle w:val="Ttulo2"/>
      </w:pPr>
      <w:r>
        <w:t xml:space="preserve">Justificación</w:t>
      </w:r>
    </w:p>
    <w:p>
      <w:pPr>
        <w:pStyle w:val="FirstParagraph"/>
      </w:pPr>
      <w:r>
        <w:t xml:space="preserve">…</w:t>
      </w:r>
    </w:p>
    <w:bookmarkEnd w:id="58"/>
    <w:bookmarkStart w:id="59" w:name="contenidos-6"/>
    <w:p>
      <w:pPr>
        <w:pStyle w:val="Ttulo2"/>
      </w:pPr>
      <w:r>
        <w:t xml:space="preserve">Contenidos</w:t>
      </w:r>
    </w:p>
    <w:p>
      <w:pPr>
        <w:numPr>
          <w:ilvl w:val="0"/>
          <w:numId w:val="1021"/>
        </w:numPr>
        <w:pStyle w:val="Compact"/>
      </w:pPr>
      <w:r>
        <w:t xml:space="preserve">Definición de Objetivos y Capacidades del Gobierno SOA</w:t>
      </w:r>
    </w:p>
    <w:p>
      <w:pPr>
        <w:numPr>
          <w:ilvl w:val="0"/>
          <w:numId w:val="1021"/>
        </w:numPr>
        <w:pStyle w:val="Compact"/>
      </w:pPr>
      <w:r>
        <w:t xml:space="preserve">Equilibrio Arquitectura y Procesos SOA</w:t>
      </w:r>
    </w:p>
    <w:p>
      <w:pPr>
        <w:numPr>
          <w:ilvl w:val="0"/>
          <w:numId w:val="1021"/>
        </w:numPr>
        <w:pStyle w:val="Compact"/>
      </w:pPr>
      <w:r>
        <w:t xml:space="preserve">Supervisión de la Efectividad y Factibilidad SOA</w:t>
      </w:r>
    </w:p>
    <w:p>
      <w:pPr>
        <w:numPr>
          <w:ilvl w:val="0"/>
          <w:numId w:val="1021"/>
        </w:numPr>
        <w:pStyle w:val="Compact"/>
      </w:pPr>
      <w:r>
        <w:t xml:space="preserve">Mejora de los índices de Efectividad (madurez) SOA</w:t>
      </w:r>
    </w:p>
    <w:p>
      <w:pPr>
        <w:numPr>
          <w:ilvl w:val="0"/>
          <w:numId w:val="1021"/>
        </w:numPr>
        <w:pStyle w:val="Compact"/>
      </w:pPr>
      <w:r>
        <w:t xml:space="preserve">Consideraciones para la Puesta en Marcha del Gobierno SOA en el FNA</w:t>
      </w:r>
    </w:p>
    <w:p>
      <w:pPr>
        <w:pStyle w:val="FirstParagraph"/>
      </w:pPr>
    </w:p>
    <w:bookmarkEnd w:id="59"/>
    <w:bookmarkStart w:id="60" w:name="criterios-de-aceptación-6"/>
    <w:p>
      <w:pPr>
        <w:pStyle w:val="Ttulo2"/>
      </w:pPr>
      <w:r>
        <w:t xml:space="preserve">Criterios de Aceptación</w:t>
      </w:r>
    </w:p>
    <w:p>
      <w:pPr>
        <w:numPr>
          <w:ilvl w:val="0"/>
          <w:numId w:val="1022"/>
        </w:numPr>
        <w:pStyle w:val="Compact"/>
      </w:pPr>
      <w:r>
        <w:t xml:space="preserve">Uno</w:t>
      </w:r>
    </w:p>
    <w:p>
      <w:pPr>
        <w:numPr>
          <w:ilvl w:val="0"/>
          <w:numId w:val="1022"/>
        </w:numPr>
        <w:pStyle w:val="Compact"/>
      </w:pPr>
      <w:r>
        <w:t xml:space="preserve">Dos</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be911d7c278a50d04b5b6b9edcb221ad80ef741"/>
    <w:p>
      <w:pPr>
        <w:pStyle w:val="Ttulo1"/>
      </w:pPr>
      <w:r>
        <w:t xml:space="preserve">Contenido de los Productos Contractuales, 181-2020</w:t>
      </w:r>
    </w:p>
    <w:bookmarkEnd w:id="63"/>
    <w:bookmarkStart w:id="67" w:name="producto-8-pr8.-arquitectura-de-solución"/>
    <w:p>
      <w:pPr>
        <w:pStyle w:val="Ttulo1"/>
      </w:pPr>
      <w:r>
        <w:t xml:space="preserve">Producto 8: PR8. Arquitectura de Solución</w:t>
      </w:r>
    </w:p>
    <w:p>
      <w:pPr>
        <w:pStyle w:val="FirstParagraph"/>
      </w:pPr>
      <w:r>
        <w:t xml:space="preserve">…</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64" w:name="justificación-7"/>
    <w:p>
      <w:pPr>
        <w:pStyle w:val="Ttulo2"/>
      </w:pPr>
      <w:r>
        <w:t xml:space="preserve">Justificación</w:t>
      </w:r>
    </w:p>
    <w:p>
      <w:pPr>
        <w:pStyle w:val="FirstParagraph"/>
      </w:pPr>
      <w:r>
        <w:t xml:space="preserve">…</w:t>
      </w:r>
    </w:p>
    <w:bookmarkEnd w:id="64"/>
    <w:bookmarkStart w:id="65" w:name="contenidos-7"/>
    <w:p>
      <w:pPr>
        <w:pStyle w:val="Ttulo2"/>
      </w:pPr>
      <w:r>
        <w:t xml:space="preserve">Contenidos</w:t>
      </w:r>
    </w:p>
    <w:p>
      <w:pPr>
        <w:numPr>
          <w:ilvl w:val="0"/>
          <w:numId w:val="1023"/>
        </w:numPr>
        <w:pStyle w:val="Compact"/>
      </w:pPr>
      <w:r>
        <w:t xml:space="preserve">Uno</w:t>
      </w:r>
    </w:p>
    <w:p>
      <w:pPr>
        <w:numPr>
          <w:ilvl w:val="0"/>
          <w:numId w:val="1023"/>
        </w:numPr>
        <w:pStyle w:val="Compact"/>
      </w:pPr>
      <w:r>
        <w:t xml:space="preserve">Dos</w:t>
      </w:r>
    </w:p>
    <w:p>
      <w:pPr>
        <w:pStyle w:val="FirstParagraph"/>
      </w:pPr>
    </w:p>
    <w:bookmarkEnd w:id="65"/>
    <w:bookmarkStart w:id="66" w:name="criterios-de-aceptación-7"/>
    <w:p>
      <w:pPr>
        <w:pStyle w:val="Ttulo2"/>
      </w:pPr>
      <w:r>
        <w:t xml:space="preserve">Criterios de Aceptación</w:t>
      </w:r>
    </w:p>
    <w:p>
      <w:pPr>
        <w:numPr>
          <w:ilvl w:val="0"/>
          <w:numId w:val="1024"/>
        </w:numPr>
        <w:pStyle w:val="Compact"/>
      </w:pPr>
      <w:r>
        <w:t xml:space="preserve">Uno</w:t>
      </w:r>
    </w:p>
    <w:p>
      <w:pPr>
        <w:numPr>
          <w:ilvl w:val="0"/>
          <w:numId w:val="1024"/>
        </w:numPr>
        <w:pStyle w:val="Compact"/>
      </w:pPr>
      <w:r>
        <w:t xml:space="preserve">Dos</w:t>
      </w:r>
    </w:p>
    <w:p>
      <w:r>
        <w:pict>
          <v:rect style="width:0;height:1.5pt" o:hralign="center" o:hrstd="t" o:hr="t"/>
        </w:pict>
      </w:r>
    </w:p>
    <w:bookmarkEnd w:id="66"/>
    <w:bookmarkEnd w:id="6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2023-01-08T19:39:41Z</dcterms:created>
  <dcterms:modified xsi:type="dcterms:W3CDTF">2023-01-08T19:39:41Z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e">
    <vt:lpwstr>Fase 1.2</vt:lpwstr>
  </property>
  <property fmtid="{D5CDD505-2E9C-101B-9397-08002B2CF9AE}" pid="3" name="Producto">
    <vt:lpwstr>PR4. Marcos Regulatorios, Normatividad y Referencias Tecnológicas</vt:lpwstr>
  </property>
  <property fmtid="{D5CDD505-2E9C-101B-9397-08002B2CF9AE}" pid="4" name="Tema">
    <vt:lpwstr>Estado SOA Actual</vt:lpwstr>
  </property>
  <property fmtid="{D5CDD505-2E9C-101B-9397-08002B2CF9AE}" pid="5" name="author-meta">
    <vt:lpwstr/>
  </property>
  <property fmtid="{D5CDD505-2E9C-101B-9397-08002B2CF9AE}" pid="6" name="bibliography">
    <vt:lpwstr/>
  </property>
  <property fmtid="{D5CDD505-2E9C-101B-9397-08002B2CF9AE}" pid="7" name="citekey_aliases">
    <vt:lpwstr/>
  </property>
  <property fmtid="{D5CDD505-2E9C-101B-9397-08002B2CF9AE}" pid="8" name="csl">
    <vt:lpwstr>build/assets/style.csl</vt:lpwstr>
  </property>
  <property fmtid="{D5CDD505-2E9C-101B-9397-08002B2CF9AE}" pid="9" name="date-meta">
    <vt:lpwstr>2023-01-08</vt:lpwstr>
  </property>
  <property fmtid="{D5CDD505-2E9C-101B-9397-08002B2CF9AE}" pid="10" name="header-includes">
    <vt:lpwstr>  </vt:lpwstr>
  </property>
  <property fmtid="{D5CDD505-2E9C-101B-9397-08002B2CF9AE}" pid="11" name="link-citations">
    <vt:lpwstr>True</vt:lpwstr>
  </property>
  <property fmtid="{D5CDD505-2E9C-101B-9397-08002B2CF9AE}" pid="12" name="manubot-clear-requests-cache">
    <vt:lpwstr>False</vt:lpwstr>
  </property>
  <property fmtid="{D5CDD505-2E9C-101B-9397-08002B2CF9AE}" pid="13" name="manubot-output-bibliography">
    <vt:lpwstr>output/references.json</vt:lpwstr>
  </property>
  <property fmtid="{D5CDD505-2E9C-101B-9397-08002B2CF9AE}" pid="14" name="manubot-output-citekeys">
    <vt:lpwstr>output/citations.tsv</vt:lpwstr>
  </property>
  <property fmtid="{D5CDD505-2E9C-101B-9397-08002B2CF9AE}" pid="15" name="manubot-requests-cache-path">
    <vt:lpwstr>ci/cache/requests-cache</vt:lpwstr>
  </property>
  <property fmtid="{D5CDD505-2E9C-101B-9397-08002B2CF9AE}" pid="16" name="references">
    <vt:lpwstr/>
  </property>
</Properties>
</file>