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p>
      <w:pPr>
        <w:pStyle w:val="FirstParagraph"/>
      </w:pPr>
      <w:r>
        <w:t xml:space="preserve">aaa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p>
      <w:r>
        <w:pict>
          <v:rect style="width:0;height:1.5pt" o:hralign="center" o:hrstd="t" o:hr="t"/>
        </w:pic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bookmarkStart w:id="56" w:name="fase-2-soa-objetivo"/>
    <w:p>
      <w:pPr>
        <w:pStyle w:val="Ttulo1"/>
      </w:pPr>
      <w:r>
        <w:t xml:space="preserve">Fase 2: SOA Objetivo</w:t>
      </w:r>
    </w:p>
    <w:bookmarkEnd w:id="56"/>
    <w:bookmarkStart w:id="57" w:name="X07b3a00b5f5fc91de94900ce5498c32360db804"/>
    <w:p>
      <w:pPr>
        <w:pStyle w:val="Ttulo1"/>
      </w:pPr>
      <w:r>
        <w:t xml:space="preserve">Contenido de los Productos Contractuales, 181-2020</w:t>
      </w:r>
    </w:p>
    <w:bookmarkEnd w:id="57"/>
    <w:bookmarkStart w:id="61" w:name="producto-7-pr7.-gobierno-soa"/>
    <w:p>
      <w:pPr>
        <w:pStyle w:val="Ttulo1"/>
      </w:pPr>
      <w:r>
        <w:t xml:space="preserve">Producto 7: PR7. Gobierno SOA</w:t>
      </w:r>
    </w:p>
    <w:p>
      <w:pPr>
        <w:pStyle w:val="FirstParagraph"/>
      </w:pPr>
      <w:r>
        <w:t xml:space="preserve">…</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8" w:name="justificación-6"/>
    <w:p>
      <w:pPr>
        <w:pStyle w:val="Ttulo2"/>
      </w:pPr>
      <w:r>
        <w:t xml:space="preserve">Justificación</w:t>
      </w:r>
    </w:p>
    <w:p>
      <w:pPr>
        <w:pStyle w:val="FirstParagraph"/>
      </w:pPr>
      <w:r>
        <w:t xml:space="preserve">…</w:t>
      </w:r>
    </w:p>
    <w:bookmarkEnd w:id="58"/>
    <w:bookmarkStart w:id="59" w:name="contenidos-6"/>
    <w:p>
      <w:pPr>
        <w:pStyle w:val="Ttulo2"/>
      </w:pPr>
      <w:r>
        <w:t xml:space="preserve">Contenidos</w:t>
      </w:r>
    </w:p>
    <w:p>
      <w:pPr>
        <w:numPr>
          <w:ilvl w:val="0"/>
          <w:numId w:val="1021"/>
        </w:numPr>
        <w:pStyle w:val="Compact"/>
      </w:pPr>
      <w:r>
        <w:t xml:space="preserve">Definición de Objetivos y Capacidades del Gobierno SOA</w:t>
      </w:r>
    </w:p>
    <w:p>
      <w:pPr>
        <w:numPr>
          <w:ilvl w:val="0"/>
          <w:numId w:val="1021"/>
        </w:numPr>
        <w:pStyle w:val="Compact"/>
      </w:pPr>
      <w:r>
        <w:t xml:space="preserve">Equilibrio Arquitectura y Procesos SOA</w:t>
      </w:r>
    </w:p>
    <w:p>
      <w:pPr>
        <w:numPr>
          <w:ilvl w:val="0"/>
          <w:numId w:val="1021"/>
        </w:numPr>
        <w:pStyle w:val="Compact"/>
      </w:pPr>
      <w:r>
        <w:t xml:space="preserve">Supervisión de la Efectividad y Factibilidad SOA</w:t>
      </w:r>
    </w:p>
    <w:p>
      <w:pPr>
        <w:numPr>
          <w:ilvl w:val="0"/>
          <w:numId w:val="1021"/>
        </w:numPr>
        <w:pStyle w:val="Compact"/>
      </w:pPr>
      <w:r>
        <w:t xml:space="preserve">Mejora de los índices de Efectividad (madurez) SOA</w:t>
      </w:r>
    </w:p>
    <w:p>
      <w:pPr>
        <w:numPr>
          <w:ilvl w:val="0"/>
          <w:numId w:val="1021"/>
        </w:numPr>
        <w:pStyle w:val="Compact"/>
      </w:pPr>
      <w:r>
        <w:t xml:space="preserve">Consideraciones para la Puesta en Marcha del Gobierno SOA en el FNA</w:t>
      </w:r>
    </w:p>
    <w:p>
      <w:pPr>
        <w:pStyle w:val="FirstParagraph"/>
      </w:pPr>
    </w:p>
    <w:bookmarkEnd w:id="59"/>
    <w:bookmarkStart w:id="60" w:name="criterios-de-aceptación-6"/>
    <w:p>
      <w:pPr>
        <w:pStyle w:val="Ttulo2"/>
      </w:pPr>
      <w:r>
        <w:t xml:space="preserve">Criterios de Aceptación</w:t>
      </w:r>
    </w:p>
    <w:p>
      <w:pPr>
        <w:numPr>
          <w:ilvl w:val="0"/>
          <w:numId w:val="1022"/>
        </w:numPr>
        <w:pStyle w:val="Compact"/>
      </w:pPr>
      <w:r>
        <w:t xml:space="preserve">Uno</w:t>
      </w:r>
    </w:p>
    <w:p>
      <w:pPr>
        <w:numPr>
          <w:ilvl w:val="0"/>
          <w:numId w:val="1022"/>
        </w:numPr>
        <w:pStyle w:val="Compact"/>
      </w:pPr>
      <w:r>
        <w:t xml:space="preserve">Dos</w:t>
      </w:r>
    </w:p>
    <w:p>
      <w:r>
        <w:pict>
          <v:rect style="width:0;height:1.5pt" o:hralign="center" o:hrstd="t" o:hr="t"/>
        </w:pict>
      </w:r>
    </w:p>
    <w:bookmarkEnd w:id="60"/>
    <w:bookmarkEnd w:id="61"/>
    <w:bookmarkStart w:id="62" w:name="fase-2-soa-objetivo-1"/>
    <w:p>
      <w:pPr>
        <w:pStyle w:val="Ttulo1"/>
      </w:pPr>
      <w:r>
        <w:t xml:space="preserve">Fase 2: SOA Objetivo</w:t>
      </w:r>
    </w:p>
    <w:bookmarkEnd w:id="62"/>
    <w:bookmarkStart w:id="63" w:name="Xbe911d7c278a50d04b5b6b9edcb221ad80ef741"/>
    <w:p>
      <w:pPr>
        <w:pStyle w:val="Ttulo1"/>
      </w:pPr>
      <w:r>
        <w:t xml:space="preserve">Contenido de los Productos Contractuales, 181-2020</w:t>
      </w:r>
    </w:p>
    <w:bookmarkEnd w:id="63"/>
    <w:bookmarkStart w:id="67" w:name="producto-8-pr8.-arquitectura-de-solución"/>
    <w:p>
      <w:pPr>
        <w:pStyle w:val="Ttulo1"/>
      </w:pPr>
      <w:r>
        <w:t xml:space="preserve">Producto 8: PR8. Arquitectura de Solución</w:t>
      </w:r>
    </w:p>
    <w:p>
      <w:pPr>
        <w:pStyle w:val="FirstParagraph"/>
      </w:pPr>
      <w:r>
        <w:t xml:space="preserve">…</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64" w:name="justificación-7"/>
    <w:p>
      <w:pPr>
        <w:pStyle w:val="Ttulo2"/>
      </w:pPr>
      <w:r>
        <w:t xml:space="preserve">Justificación</w:t>
      </w:r>
    </w:p>
    <w:p>
      <w:pPr>
        <w:pStyle w:val="FirstParagraph"/>
      </w:pPr>
      <w:r>
        <w:t xml:space="preserve">…</w:t>
      </w:r>
    </w:p>
    <w:bookmarkEnd w:id="64"/>
    <w:bookmarkStart w:id="65" w:name="contenidos-7"/>
    <w:p>
      <w:pPr>
        <w:pStyle w:val="Ttulo2"/>
      </w:pPr>
      <w:r>
        <w:t xml:space="preserve">Contenidos</w:t>
      </w:r>
    </w:p>
    <w:p>
      <w:pPr>
        <w:numPr>
          <w:ilvl w:val="0"/>
          <w:numId w:val="1023"/>
        </w:numPr>
        <w:pStyle w:val="Compact"/>
      </w:pPr>
      <w:r>
        <w:t xml:space="preserve">Uno</w:t>
      </w:r>
    </w:p>
    <w:p>
      <w:pPr>
        <w:numPr>
          <w:ilvl w:val="0"/>
          <w:numId w:val="1023"/>
        </w:numPr>
        <w:pStyle w:val="Compact"/>
      </w:pPr>
      <w:r>
        <w:t xml:space="preserve">Dos</w:t>
      </w:r>
    </w:p>
    <w:p>
      <w:pPr>
        <w:pStyle w:val="FirstParagraph"/>
      </w:pPr>
    </w:p>
    <w:bookmarkEnd w:id="65"/>
    <w:bookmarkStart w:id="66" w:name="criterios-de-aceptación-7"/>
    <w:p>
      <w:pPr>
        <w:pStyle w:val="Ttulo2"/>
      </w:pPr>
      <w:r>
        <w:t xml:space="preserve">Criterios de Aceptación</w:t>
      </w:r>
    </w:p>
    <w:p>
      <w:pPr>
        <w:numPr>
          <w:ilvl w:val="0"/>
          <w:numId w:val="1024"/>
        </w:numPr>
        <w:pStyle w:val="Compact"/>
      </w:pPr>
      <w:r>
        <w:t xml:space="preserve">Uno</w:t>
      </w:r>
    </w:p>
    <w:p>
      <w:pPr>
        <w:numPr>
          <w:ilvl w:val="0"/>
          <w:numId w:val="1024"/>
        </w:numPr>
        <w:pStyle w:val="Compact"/>
      </w:pPr>
      <w:r>
        <w:t xml:space="preserve">Dos</w:t>
      </w:r>
    </w:p>
    <w:p>
      <w:r>
        <w:pict>
          <v:rect style="width:0;height:1.5pt" o:hralign="center" o:hrstd="t" o:hr="t"/>
        </w:pict>
      </w:r>
    </w:p>
    <w:bookmarkEnd w:id="66"/>
    <w:bookmarkEnd w:id="6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2023-01-10T01:31:03Z</dcterms:created>
  <dcterms:modified xsi:type="dcterms:W3CDTF">2023-01-10T01:31:03Z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2023-01-10</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