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6"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p>
      <w:pPr>
        <w:pStyle w:val="FirstParagraph"/>
      </w:pPr>
      <w:r>
        <w:t xml:space="preserve">aaa</w:t>
      </w:r>
    </w:p>
    <w:bookmarkEnd w:id="23"/>
    <w:bookmarkStart w:id="25"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4">
              <w:r>
                <w:rPr>
                  <w:rStyle w:val="Hipervnculo"/>
                </w:rPr>
                <w:t xml:space="preserve">N003a Vista Segmento SOA FNA</w:t>
              </w:r>
            </w:hyperlink>
          </w:p>
        </w:tc>
      </w:tr>
    </w:tbl>
    <w:p>
      <w:pPr>
        <w:pStyle w:val="Textoindependiente"/>
      </w:pPr>
    </w:p>
    <w:bookmarkEnd w:id="25"/>
    <w:bookmarkEnd w:id="26"/>
    <w:bookmarkStart w:id="55" w:name="comparación-soa-fna---sector"/>
    <w:p>
      <w:pPr>
        <w:pStyle w:val="Ttulo1"/>
      </w:pPr>
      <w:r>
        <w:t xml:space="preserve">Comparación SOA FNA - Sector</w:t>
      </w:r>
    </w:p>
    <w:p>
      <w:pPr>
        <w:pStyle w:val="FirstParagraph"/>
      </w:pPr>
      <w:r>
        <w:t xml:space="preserve">Para presentar este análisis comparativo se han selecionado algunas dimensiones que permitan subdividir la comparación en diferentes categorías. Las dimensiones propuestas son:</w:t>
      </w:r>
    </w:p>
    <w:p>
      <w:pPr>
        <w:pStyle w:val="Textoindependiente"/>
      </w:pPr>
      <w:r>
        <w:t xml:space="preserve">Los aspectos a tener en cuenta en la comparativa serán:</w:t>
      </w:r>
    </w:p>
    <w:p>
      <w:pPr>
        <w:numPr>
          <w:ilvl w:val="0"/>
          <w:numId w:val="1009"/>
        </w:numPr>
        <w:pStyle w:val="Compact"/>
      </w:pPr>
      <w:r>
        <w:t xml:space="preserve">Arquitectura</w:t>
      </w:r>
    </w:p>
    <w:p>
      <w:pPr>
        <w:numPr>
          <w:ilvl w:val="0"/>
          <w:numId w:val="1009"/>
        </w:numPr>
        <w:pStyle w:val="Compact"/>
      </w:pPr>
      <w:r>
        <w:t xml:space="preserve">Portafolio de Servicios</w:t>
      </w:r>
    </w:p>
    <w:p>
      <w:pPr>
        <w:numPr>
          <w:ilvl w:val="0"/>
          <w:numId w:val="1009"/>
        </w:numPr>
        <w:pStyle w:val="Compact"/>
      </w:pPr>
      <w:r>
        <w:t xml:space="preserve">Gobierno SOA</w:t>
      </w:r>
    </w:p>
    <w:p>
      <w:pPr>
        <w:numPr>
          <w:ilvl w:val="0"/>
          <w:numId w:val="1009"/>
        </w:numPr>
        <w:pStyle w:val="Compact"/>
      </w:pPr>
      <w:r>
        <w:t xml:space="preserve">Estrategia de Versionamiento</w:t>
      </w:r>
    </w:p>
    <w:p>
      <w:pPr>
        <w:numPr>
          <w:ilvl w:val="0"/>
          <w:numId w:val="1009"/>
        </w:numPr>
        <w:pStyle w:val="Compact"/>
      </w:pPr>
      <w:r>
        <w:t xml:space="preserve">Monitoreo y Operación</w:t>
      </w:r>
    </w:p>
    <w:p>
      <w:pPr>
        <w:numPr>
          <w:ilvl w:val="0"/>
          <w:numId w:val="1009"/>
        </w:numPr>
        <w:pStyle w:val="Compact"/>
      </w:pPr>
      <w:r>
        <w:t xml:space="preserve">Mantenimiento y Evolución</w:t>
      </w:r>
    </w:p>
    <w:p>
      <w:pPr>
        <w:numPr>
          <w:ilvl w:val="0"/>
          <w:numId w:val="1009"/>
        </w:numPr>
        <w:pStyle w:val="Compact"/>
      </w:pPr>
      <w:r>
        <w:t xml:space="preserve">Nuevas tecnologías</w:t>
      </w:r>
    </w:p>
    <w:p>
      <w:pPr>
        <w:pStyle w:val="FirstParagraph"/>
      </w:pPr>
      <w:r>
        <w:t xml:space="preserve">Cada uno de los elementos será presentado de forma general, posteriormente uso de dichos aspectos en el sector financiero y finalmente la comparativa del FNA.</w:t>
      </w:r>
    </w:p>
    <w:p>
      <w:pPr>
        <w:pStyle w:val="Textoindependiente"/>
      </w:pPr>
    </w:p>
    <w:bookmarkStart w:id="30" w:name="arquitectura"/>
    <w:p>
      <w:pPr>
        <w:pStyle w:val="Ttulo2"/>
      </w:pPr>
      <w:r>
        <w:t xml:space="preserve">Arquitectura</w:t>
      </w:r>
    </w:p>
    <w:bookmarkStart w:id="27" w:name="descripción"/>
    <w:p>
      <w:pPr>
        <w:pStyle w:val="Ttulo3"/>
      </w:pPr>
      <w:r>
        <w:t xml:space="preserve">Descripción</w:t>
      </w:r>
    </w:p>
    <w:p>
      <w:pPr>
        <w:pStyle w:val="FirstParagraph"/>
      </w:pPr>
      <w:r>
        <w:t xml:space="preserve">En esta categoría se desean establecer criterios de mejores prácticas asociadas al manejo de los modelos de arquitectura, si se cuenta con un depósito de arquitectura formal y un grupo de Arquitectura establecido dentro de la organización. Esto incluye los diferentes cargos y formalismo para realizar el manejo de arquitectura dentro de la organización.</w:t>
      </w:r>
    </w:p>
    <w:bookmarkEnd w:id="27"/>
    <w:bookmarkStart w:id="28" w:name="mejores-prácticas-en-el-sector"/>
    <w:p>
      <w:pPr>
        <w:pStyle w:val="Ttulo3"/>
      </w:pPr>
      <w:r>
        <w:t xml:space="preserve">Mejores prácticas en el sector</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mejores-prácticas-en-el-sector-1"/>
    <w:p>
      <w:pPr>
        <w:pStyle w:val="Ttulo3"/>
      </w:pPr>
      <w:r>
        <w:t xml:space="preserve">Mejores prácticas en el sector</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2"/>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mejores-prácticas-en-el-sector-3"/>
    <w:p>
      <w:pPr>
        <w:pStyle w:val="Ttulo3"/>
      </w:pPr>
      <w:r>
        <w:t xml:space="preserve">Mejores prácticas en el sector</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mejores-prácticas-en-el-sector-4"/>
    <w:p>
      <w:pPr>
        <w:pStyle w:val="Ttulo3"/>
      </w:pPr>
      <w:r>
        <w:t xml:space="preserve">Mejores prácticas en el sector</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mejores-prácticas-en-el-sector-5"/>
    <w:p>
      <w:pPr>
        <w:pStyle w:val="Ttulo3"/>
      </w:pPr>
      <w:r>
        <w:t xml:space="preserve">Mejores prácticas en el sector</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mejores-prácticas-en-el-sector-6"/>
    <w:p>
      <w:pPr>
        <w:pStyle w:val="Ttulo3"/>
      </w:pPr>
      <w:r>
        <w:t xml:space="preserve">Mejores prácticas en el sector</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1-estado-soa-actual-1"/>
    <w:p>
      <w:pPr>
        <w:pStyle w:val="Ttulo1"/>
      </w:pPr>
      <w:r>
        <w:t xml:space="preserve">Fase 1: Estado SOA Actual</w:t>
      </w:r>
    </w:p>
    <w:bookmarkEnd w:id="56"/>
    <w:bookmarkStart w:id="57" w:name="contenido-de-los-productos-del-alcance-1"/>
    <w:p>
      <w:pPr>
        <w:pStyle w:val="Ttulo1"/>
      </w:pPr>
      <w:r>
        <w:t xml:space="preserve">Contenido de los Productos del Alcance</w:t>
      </w:r>
    </w:p>
    <w:bookmarkEnd w:id="57"/>
    <w:bookmarkStart w:id="6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5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58"/>
    <w:bookmarkStart w:id="59" w:name="contenidos-1"/>
    <w:p>
      <w:pPr>
        <w:pStyle w:val="Ttulo2"/>
      </w:pPr>
      <w:r>
        <w:t xml:space="preserve">Contenidos</w:t>
      </w:r>
    </w:p>
    <w:p>
      <w:pPr>
        <w:numPr>
          <w:ilvl w:val="0"/>
          <w:numId w:val="1010"/>
        </w:numPr>
        <w:pStyle w:val="Compact"/>
      </w:pPr>
      <w:r>
        <w:t xml:space="preserve">Resultados y métricas del diagnóstico de madurez SOA</w:t>
      </w:r>
    </w:p>
    <w:p>
      <w:pPr>
        <w:numPr>
          <w:ilvl w:val="0"/>
          <w:numId w:val="1010"/>
        </w:numPr>
        <w:pStyle w:val="Compact"/>
      </w:pPr>
      <w:r>
        <w:t xml:space="preserve">Consideraciones y conclusiones respecto a la arquitectura estándar SOA</w:t>
      </w:r>
    </w:p>
    <w:p>
      <w:pPr>
        <w:numPr>
          <w:ilvl w:val="0"/>
          <w:numId w:val="1010"/>
        </w:numPr>
        <w:pStyle w:val="Compact"/>
      </w:pPr>
      <w:r>
        <w:t xml:space="preserve">Consideraciones y conclusiones respecto de las necesidades de integración</w:t>
      </w:r>
    </w:p>
    <w:p>
      <w:pPr>
        <w:numPr>
          <w:ilvl w:val="0"/>
          <w:numId w:val="1010"/>
        </w:numPr>
        <w:pStyle w:val="Compact"/>
      </w:pPr>
      <w:r>
        <w:t xml:space="preserve">Consideraciones y conclusiones respecto al gobierno SOA</w:t>
      </w:r>
    </w:p>
    <w:p>
      <w:pPr>
        <w:numPr>
          <w:ilvl w:val="0"/>
          <w:numId w:val="1010"/>
        </w:numPr>
        <w:pStyle w:val="Compact"/>
      </w:pPr>
      <w:r>
        <w:t xml:space="preserve">Implicaciones a otros proyectos del Fondo</w:t>
      </w:r>
    </w:p>
    <w:bookmarkEnd w:id="59"/>
    <w:bookmarkStart w:id="60" w:name="criterios-de-aceptación-1"/>
    <w:p>
      <w:pPr>
        <w:pStyle w:val="Ttulo2"/>
      </w:pPr>
      <w:r>
        <w:t xml:space="preserve">Criterios de Aceptación</w:t>
      </w:r>
    </w:p>
    <w:p>
      <w:pPr>
        <w:numPr>
          <w:ilvl w:val="0"/>
          <w:numId w:val="1011"/>
        </w:numPr>
        <w:pStyle w:val="Compact"/>
      </w:pPr>
      <w:r>
        <w:t xml:space="preserve">Análisis del nivel de madurez SOA del FNA teniendo en cuenta las definiciones y criterios de evaluación de propuestas por el modelo OSIMM</w:t>
      </w:r>
      <w:r>
        <w:br/>
      </w:r>
    </w:p>
    <w:p>
      <w:pPr>
        <w:numPr>
          <w:ilvl w:val="0"/>
          <w:numId w:val="1011"/>
        </w:numPr>
        <w:pStyle w:val="Compact"/>
      </w:pPr>
      <w:r>
        <w:t xml:space="preserve">Análisis de las necesidades de integración y Gobierno SOA</w:t>
      </w:r>
    </w:p>
    <w:p>
      <w:r>
        <w:pict>
          <v:rect style="width:0;height:1.5pt" o:hralign="center" o:hrstd="t" o:hr="t"/>
        </w:pict>
      </w:r>
    </w:p>
    <w:bookmarkEnd w:id="60"/>
    <w:bookmarkEnd w:id="61"/>
    <w:bookmarkStart w:id="62" w:name="fase-1-estado-soa-actual-2"/>
    <w:p>
      <w:pPr>
        <w:pStyle w:val="Ttulo1"/>
      </w:pPr>
      <w:r>
        <w:t xml:space="preserve">Fase 1: Estado SOA Actual</w:t>
      </w:r>
    </w:p>
    <w:bookmarkEnd w:id="62"/>
    <w:bookmarkStart w:id="63" w:name="contenido-de-los-productos-del-alcance-2"/>
    <w:p>
      <w:pPr>
        <w:pStyle w:val="Ttulo1"/>
      </w:pPr>
      <w:r>
        <w:t xml:space="preserve">Contenido de los Productos del Alcance</w:t>
      </w:r>
    </w:p>
    <w:bookmarkEnd w:id="63"/>
    <w:bookmarkStart w:id="6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6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64"/>
    <w:bookmarkStart w:id="65" w:name="contenidos-2"/>
    <w:p>
      <w:pPr>
        <w:pStyle w:val="Ttulo2"/>
      </w:pPr>
      <w:r>
        <w:t xml:space="preserve">Contenidos</w:t>
      </w:r>
    </w:p>
    <w:p>
      <w:pPr>
        <w:numPr>
          <w:ilvl w:val="0"/>
          <w:numId w:val="1012"/>
        </w:numPr>
        <w:pStyle w:val="Compact"/>
      </w:pPr>
      <w:r>
        <w:t xml:space="preserve">Análisis de alineación negocio / TI con SOA (VAL IT / ROI Model)</w:t>
      </w:r>
    </w:p>
    <w:p>
      <w:pPr>
        <w:numPr>
          <w:ilvl w:val="0"/>
          <w:numId w:val="1012"/>
        </w:numPr>
        <w:pStyle w:val="Compact"/>
      </w:pPr>
      <w:r>
        <w:t xml:space="preserve">Análisis de huella y dependencia tecnologica SOA del FNA</w:t>
      </w:r>
    </w:p>
    <w:p>
      <w:pPr>
        <w:numPr>
          <w:ilvl w:val="0"/>
          <w:numId w:val="1012"/>
        </w:numPr>
        <w:pStyle w:val="Compact"/>
      </w:pPr>
      <w:r>
        <w:t xml:space="preserve">Análisis de las fortalezas SOA del FNA</w:t>
      </w:r>
    </w:p>
    <w:p>
      <w:pPr>
        <w:numPr>
          <w:ilvl w:val="0"/>
          <w:numId w:val="1012"/>
        </w:numPr>
        <w:pStyle w:val="Compact"/>
      </w:pPr>
      <w:r>
        <w:t xml:space="preserve">Análisis de gobierno SOA (Gov and Interop Framework)</w:t>
      </w:r>
    </w:p>
    <w:p>
      <w:pPr>
        <w:numPr>
          <w:ilvl w:val="0"/>
          <w:numId w:val="1012"/>
        </w:numPr>
        <w:pStyle w:val="Compact"/>
      </w:pPr>
      <w:r>
        <w:t xml:space="preserve">Análisis de atributos de calidad SOA</w:t>
      </w:r>
    </w:p>
    <w:p>
      <w:pPr>
        <w:numPr>
          <w:ilvl w:val="0"/>
          <w:numId w:val="1012"/>
        </w:numPr>
        <w:pStyle w:val="Compact"/>
      </w:pPr>
      <w:r>
        <w:t xml:space="preserve">Oportunidades y beneficios SOA futuros. Requerimientos SOA (VAL IT)</w:t>
      </w:r>
    </w:p>
    <w:bookmarkEnd w:id="65"/>
    <w:bookmarkStart w:id="66" w:name="criterios-de-aceptación-2"/>
    <w:p>
      <w:pPr>
        <w:pStyle w:val="Ttulo2"/>
      </w:pPr>
      <w:r>
        <w:t xml:space="preserve">Criterios de Aceptación</w:t>
      </w:r>
    </w:p>
    <w:p>
      <w:pPr>
        <w:numPr>
          <w:ilvl w:val="0"/>
          <w:numId w:val="1013"/>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3"/>
        </w:numPr>
        <w:pStyle w:val="Compact"/>
      </w:pPr>
      <w:r>
        <w:t xml:space="preserve">Presentación y descripción de oportunidades de mejora y posibles nuevos requerimientos relacionados al ecosistema SOA</w:t>
      </w:r>
    </w:p>
    <w:bookmarkEnd w:id="66"/>
    <w:bookmarkEnd w:id="67"/>
    <w:bookmarkStart w:id="68" w:name="fase-1-estado-soa-actual-3"/>
    <w:p>
      <w:pPr>
        <w:pStyle w:val="Ttulo1"/>
      </w:pPr>
      <w:r>
        <w:t xml:space="preserve">Fase 1: Estado SOA Actual</w:t>
      </w:r>
    </w:p>
    <w:bookmarkEnd w:id="68"/>
    <w:bookmarkStart w:id="69" w:name="Xde28353806a99316a61e306cd812fd556109b6d"/>
    <w:p>
      <w:pPr>
        <w:pStyle w:val="Ttulo1"/>
      </w:pPr>
      <w:r>
        <w:t xml:space="preserve">Contenido de los Productos Contractuales, 181-2020</w:t>
      </w:r>
    </w:p>
    <w:bookmarkEnd w:id="69"/>
    <w:bookmarkStart w:id="73"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70" w:name="justificación-3"/>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70"/>
    <w:bookmarkStart w:id="71" w:name="contenidos-3"/>
    <w:p>
      <w:pPr>
        <w:pStyle w:val="Ttulo2"/>
      </w:pPr>
      <w:r>
        <w:t xml:space="preserve">Contenidos</w:t>
      </w:r>
    </w:p>
    <w:p>
      <w:pPr>
        <w:numPr>
          <w:ilvl w:val="0"/>
          <w:numId w:val="1014"/>
        </w:numPr>
        <w:pStyle w:val="Compact"/>
      </w:pPr>
      <w:r>
        <w:t xml:space="preserve">Lista tecnologías SOA afines al Fondo</w:t>
      </w:r>
    </w:p>
    <w:p>
      <w:pPr>
        <w:numPr>
          <w:ilvl w:val="0"/>
          <w:numId w:val="1014"/>
        </w:numPr>
        <w:pStyle w:val="Compact"/>
      </w:pPr>
      <w:r>
        <w:t xml:space="preserve">Lista de beneficios al FNA por las tecnologías seleccionadas</w:t>
      </w:r>
    </w:p>
    <w:p>
      <w:pPr>
        <w:numPr>
          <w:ilvl w:val="0"/>
          <w:numId w:val="1014"/>
        </w:numPr>
        <w:pStyle w:val="Compact"/>
      </w:pPr>
      <w:r>
        <w:t xml:space="preserve">Implicaciones para la adquisición y adopción tecnológica</w:t>
      </w:r>
    </w:p>
    <w:p>
      <w:pPr>
        <w:pStyle w:val="FirstParagraph"/>
      </w:pPr>
    </w:p>
    <w:bookmarkEnd w:id="71"/>
    <w:bookmarkStart w:id="72" w:name="criterios-de-aceptación-3"/>
    <w:p>
      <w:pPr>
        <w:pStyle w:val="Ttulo2"/>
      </w:pPr>
      <w:r>
        <w:t xml:space="preserve">Criterios de Aceptación</w:t>
      </w:r>
    </w:p>
    <w:p>
      <w:pPr>
        <w:numPr>
          <w:ilvl w:val="0"/>
          <w:numId w:val="1015"/>
        </w:numPr>
        <w:pStyle w:val="Compact"/>
      </w:pPr>
      <w:r>
        <w:t xml:space="preserve">Evaluación e Identificación de la tecnología SOA que mejor se alinea con los objetivos del proyecto.</w:t>
      </w:r>
    </w:p>
    <w:p>
      <w:pPr>
        <w:numPr>
          <w:ilvl w:val="0"/>
          <w:numId w:val="1015"/>
        </w:numPr>
        <w:pStyle w:val="Compact"/>
      </w:pPr>
      <w:r>
        <w:t xml:space="preserve">Presentación de una arquitectura de solución de Alto Nivel</w:t>
      </w:r>
    </w:p>
    <w:p>
      <w:r>
        <w:pict>
          <v:rect style="width:0;height:1.5pt" o:hralign="center" o:hrstd="t" o:hr="t"/>
        </w:pict>
      </w:r>
    </w:p>
    <w:bookmarkEnd w:id="72"/>
    <w:bookmarkEnd w:id="73"/>
    <w:bookmarkStart w:id="74" w:name="fase-1-estado-soa-actual-4"/>
    <w:p>
      <w:pPr>
        <w:pStyle w:val="Ttulo1"/>
      </w:pPr>
      <w:r>
        <w:t xml:space="preserve">Fase 1: Estado SOA Actual</w:t>
      </w:r>
    </w:p>
    <w:bookmarkEnd w:id="74"/>
    <w:bookmarkStart w:id="75" w:name="X5c0c69e660e78a6abcb50f83e9ffaa519594cea"/>
    <w:p>
      <w:pPr>
        <w:pStyle w:val="Ttulo1"/>
      </w:pPr>
      <w:r>
        <w:t xml:space="preserve">Contenido de los Productos Contractuales, 181-2020</w:t>
      </w:r>
    </w:p>
    <w:bookmarkEnd w:id="75"/>
    <w:bookmarkStart w:id="79"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76" w:name="justificación-4"/>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76"/>
    <w:bookmarkStart w:id="77" w:name="contenidos-4"/>
    <w:p>
      <w:pPr>
        <w:pStyle w:val="Ttulo2"/>
      </w:pPr>
      <w:r>
        <w:t xml:space="preserve">Contenidos</w:t>
      </w:r>
    </w:p>
    <w:p>
      <w:pPr>
        <w:numPr>
          <w:ilvl w:val="0"/>
          <w:numId w:val="1016"/>
        </w:numPr>
        <w:pStyle w:val="Compact"/>
      </w:pPr>
      <w:r>
        <w:t xml:space="preserve">Niveles de adopción SOA en las organizaciones</w:t>
      </w:r>
    </w:p>
    <w:p>
      <w:pPr>
        <w:numPr>
          <w:ilvl w:val="0"/>
          <w:numId w:val="1016"/>
        </w:numPr>
        <w:pStyle w:val="Compact"/>
      </w:pPr>
      <w:r>
        <w:t xml:space="preserve">Focos de implementación SOA que pueden lograr las empresas</w:t>
      </w:r>
    </w:p>
    <w:p>
      <w:pPr>
        <w:numPr>
          <w:ilvl w:val="0"/>
          <w:numId w:val="1016"/>
        </w:numPr>
        <w:pStyle w:val="Compact"/>
      </w:pPr>
      <w:r>
        <w:t xml:space="preserve">Retornos de inversión (ROI) SOA posibles</w:t>
      </w:r>
    </w:p>
    <w:p>
      <w:pPr>
        <w:numPr>
          <w:ilvl w:val="0"/>
          <w:numId w:val="1016"/>
        </w:numPr>
        <w:pStyle w:val="Compact"/>
      </w:pPr>
      <w:r>
        <w:t xml:space="preserve">Retos que las empresas han superado por la implementación SOA</w:t>
      </w:r>
    </w:p>
    <w:p>
      <w:pPr>
        <w:numPr>
          <w:ilvl w:val="0"/>
          <w:numId w:val="1016"/>
        </w:numPr>
        <w:pStyle w:val="Compact"/>
      </w:pPr>
      <w:r>
        <w:t xml:space="preserve">Ventajas de rendimiento percibidas en las empresas por la implementación SOA</w:t>
      </w:r>
    </w:p>
    <w:p>
      <w:pPr>
        <w:numPr>
          <w:ilvl w:val="0"/>
          <w:numId w:val="1016"/>
        </w:numPr>
        <w:pStyle w:val="Compact"/>
      </w:pPr>
      <w:r>
        <w:t xml:space="preserve">Conclusiones de la comparativa: oportunidades SOA para el FNA</w:t>
      </w:r>
    </w:p>
    <w:p>
      <w:pPr>
        <w:pStyle w:val="FirstParagraph"/>
      </w:pPr>
    </w:p>
    <w:bookmarkEnd w:id="77"/>
    <w:bookmarkStart w:id="78" w:name="criterios-de-aceptación-4"/>
    <w:p>
      <w:pPr>
        <w:pStyle w:val="Ttulo2"/>
      </w:pPr>
      <w:r>
        <w:t xml:space="preserve">Criterios de Aceptación</w:t>
      </w:r>
    </w:p>
    <w:p>
      <w:pPr>
        <w:numPr>
          <w:ilvl w:val="0"/>
          <w:numId w:val="1017"/>
        </w:numPr>
        <w:pStyle w:val="Compact"/>
      </w:pPr>
      <w:r>
        <w:t xml:space="preserve">Lista de oportunidades e iniciativas ralizables por el FNA</w:t>
      </w:r>
    </w:p>
    <w:p>
      <w:pPr>
        <w:numPr>
          <w:ilvl w:val="0"/>
          <w:numId w:val="1017"/>
        </w:numPr>
        <w:pStyle w:val="Compact"/>
      </w:pPr>
      <w:r>
        <w:t xml:space="preserve">Mejoras visibles para las capacidades de la arquitectura SOA del Fondo</w:t>
      </w:r>
    </w:p>
    <w:p>
      <w:r>
        <w:pict>
          <v:rect style="width:0;height:1.5pt" o:hralign="center" o:hrstd="t" o:hr="t"/>
        </w:pict>
      </w:r>
    </w:p>
    <w:bookmarkEnd w:id="78"/>
    <w:bookmarkEnd w:id="7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N03a%a20Vsta%20aSegenta%20SOA%20FNA.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2023-01-10T13:13:45Z</dcterms:created>
  <dcterms:modified xsi:type="dcterms:W3CDTF">2023-01-10T13:13:45Z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