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Actual</w:t>
      </w:r>
      <w:r>
        <w:t xml:space="preserve"> </w:t>
      </w:r>
      <w:r>
        <w:t xml:space="preserve">FNA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4"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3"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BodyText"/>
      </w:pPr>
    </w:p>
    <w:p>
      <w:pPr>
        <w:pStyle w:val="BodyText"/>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3"/>
    <w:bookmarkEnd w:id="24"/>
    <w:bookmarkStart w:id="29"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yperlink"/>
                </w:rPr>
                <w:t xml:space="preserve">Vista de Contexto</w:t>
              </w:r>
            </w:hyperlink>
            <w:r>
              <w:t xml:space="preserve">;</w:t>
            </w:r>
            <w:r>
              <w:t xml:space="preserve"> </w:t>
            </w:r>
            <w:hyperlink r:id="rId25">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6"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6"/>
    <w:bookmarkStart w:id="27"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27"/>
    <w:bookmarkStart w:id="28" w:name="abstract"/>
    <w:p>
      <w:pPr>
        <w:pStyle w:val="Heading2"/>
      </w:pPr>
      <w:r>
        <w:t xml:space="preserve">Abstract</w:t>
      </w:r>
    </w:p>
    <w:bookmarkEnd w:id="28"/>
    <w:bookmarkEnd w:id="2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2023-01-05T16:44:01Z</dcterms:created>
  <dcterms:modified xsi:type="dcterms:W3CDTF">2023-01-05T16:44:01Z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