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Cada uno de estos aspectos los presentaremos primero desde el sector financiero en general y, posteriormente, serán aplicados al FNA.</w:t>
      </w:r>
    </w:p>
    <w:p>
      <w:pPr>
        <w:pStyle w:val="Textoindependiente"/>
      </w:pPr>
    </w:p>
    <w:bookmarkStart w:id="24" w:name="arquitectura"/>
    <w:p>
      <w:pPr>
        <w:pStyle w:val="Ttulo2"/>
      </w:pPr>
      <w:r>
        <w:t xml:space="preserve">Arquitectura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mejores-prácticas-en-el-sector"/>
    <w:p>
      <w:pPr>
        <w:pStyle w:val="Ttulo3"/>
      </w:pPr>
      <w:r>
        <w:t xml:space="preserve">Mejores prácticas en el sector</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1"/>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mejores-prácticas-en-el-sector-2"/>
    <w:p>
      <w:pPr>
        <w:pStyle w:val="Ttulo3"/>
      </w:pPr>
      <w:r>
        <w:t xml:space="preserve">Mejores prácticas en el sector</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mejores-prácticas-en-el-sector-3"/>
    <w:p>
      <w:pPr>
        <w:pStyle w:val="Ttulo3"/>
      </w:pPr>
      <w:r>
        <w:t xml:space="preserve">Mejores prácticas en el sector</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mejores-prácticas-en-el-sector-4"/>
    <w:p>
      <w:pPr>
        <w:pStyle w:val="Ttulo3"/>
      </w:pPr>
      <w:r>
        <w:t xml:space="preserve">Mejores prácticas en el sector</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mejores-prácticas-en-el-sector-5"/>
    <w:p>
      <w:pPr>
        <w:pStyle w:val="Ttulo3"/>
      </w:pPr>
      <w:r>
        <w:t xml:space="preserve">Mejores prácticas en el sector</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2023-01-10T18:31:01Z</dcterms:created>
  <dcterms:modified xsi:type="dcterms:W3CDTF">2023-01-10T18:31:01Z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