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-fna"/>
    <w:p>
      <w:pPr>
        <w:pStyle w:val="Ttulo1"/>
      </w:pPr>
      <w:r>
        <w:t xml:space="preserve">Fase 2: SOA Objetivo FNA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p>
      <w:pPr>
        <w:pStyle w:val="FirstParagraph"/>
      </w:pPr>
    </w:p>
    <w:bookmarkEnd w:id="21"/>
    <w:bookmarkStart w:id="25" w:name="X8ecd8291b4747b63a587a34c535f1ee38fab38a"/>
    <w:p>
      <w:pPr>
        <w:pStyle w:val="Ttulo1"/>
      </w:pPr>
      <w:r>
        <w:t xml:space="preserve">Producto 5: PR5. Comparativa de la industria y el FNA</w:t>
      </w:r>
    </w:p>
    <w:p>
      <w:pPr>
        <w:pStyle w:val="FirstParagraph"/>
      </w:pPr>
      <w:r>
        <w:t xml:space="preserve">Describir y comparar con el Fondo la manera cómo las empresas del segmento y de otros sectores de la industria enfrentan los retos de flexibilidad de negocio, independencia de proveedor tecnológico, y fortaleza SOA.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comparativa SOA de la industria proveerá al Fondo de hallazgos aplicables a sus procesos y productos. A la vez, esta información de guía puede ser traducida en futuras iniciativas pertenecientes a la hoja de ruta de mejora, tanto del gobierno como de los procesos SOA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Arquitectura SOA</w:t>
      </w:r>
    </w:p>
    <w:p>
      <w:pPr>
        <w:numPr>
          <w:ilvl w:val="0"/>
          <w:numId w:val="1001"/>
        </w:numPr>
        <w:pStyle w:val="Compact"/>
      </w:pPr>
      <w:r>
        <w:t xml:space="preserve">Portafolio de servicios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Versionamiento de servicios</w:t>
      </w:r>
    </w:p>
    <w:p>
      <w:pPr>
        <w:numPr>
          <w:ilvl w:val="0"/>
          <w:numId w:val="1001"/>
        </w:numPr>
        <w:pStyle w:val="Compact"/>
      </w:pPr>
      <w:r>
        <w:t xml:space="preserve">Monitoreo y operación SOA</w:t>
      </w:r>
    </w:p>
    <w:p>
      <w:pPr>
        <w:numPr>
          <w:ilvl w:val="0"/>
          <w:numId w:val="1001"/>
        </w:numPr>
        <w:pStyle w:val="Compact"/>
      </w:pPr>
      <w:r>
        <w:t xml:space="preserve">Mantenimiento y evolución de servicios</w:t>
      </w:r>
    </w:p>
    <w:p>
      <w:pPr>
        <w:numPr>
          <w:ilvl w:val="0"/>
          <w:numId w:val="1001"/>
        </w:numPr>
        <w:pStyle w:val="Compact"/>
      </w:pPr>
      <w:r>
        <w:t xml:space="preserve">Nuevas tecnologías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oportunidades e iniciativas ralizables por el FNA</w:t>
      </w:r>
    </w:p>
    <w:p>
      <w:pPr>
        <w:numPr>
          <w:ilvl w:val="0"/>
          <w:numId w:val="1002"/>
        </w:numPr>
        <w:pStyle w:val="Compact"/>
      </w:pPr>
      <w:r>
        <w:t xml:space="preserve">Mejoras visibles para las capacidades de la arquitectura SOA del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2023-01-31T01:48:07Z</dcterms:created>
  <dcterms:modified xsi:type="dcterms:W3CDTF">2023-01-31T01:48:07Z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