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p>
      <w:pPr>
        <w:pStyle w:val="FirstParagraph"/>
      </w:pPr>
    </w:p>
    <w:bookmarkEnd w:id="21"/>
    <w:bookmarkStart w:id="25" w:name="X5729dbf0db6066b30f53e9af5c9edee5e592600"/>
    <w:p>
      <w:pPr>
        <w:pStyle w:val="Ttulo1"/>
      </w:pPr>
      <w:r>
        <w:t xml:space="preserve">Producto 6: PR6.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</w:t>
      </w:r>
    </w:p>
    <w:p>
      <w:pPr>
        <w:numPr>
          <w:ilvl w:val="0"/>
          <w:numId w:val="1001"/>
        </w:numPr>
        <w:pStyle w:val="Compact"/>
      </w:pPr>
      <w:r>
        <w:t xml:space="preserve">Portafolio de servicios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Monitoreo y operación SOA</w:t>
      </w:r>
    </w:p>
    <w:p>
      <w:pPr>
        <w:numPr>
          <w:ilvl w:val="0"/>
          <w:numId w:val="1001"/>
        </w:numPr>
        <w:pStyle w:val="Compact"/>
      </w:pPr>
      <w:r>
        <w:t xml:space="preserve">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Nuevas tecnologías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2023-01-15T18:13:48Z</dcterms:created>
  <dcterms:modified xsi:type="dcterms:W3CDTF">2023-01-15T18:13:48Z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