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p>
      <w:pPr>
        <w:pStyle w:val="FirstParagraph"/>
      </w:pPr>
    </w:p>
    <w:bookmarkEnd w:id="21"/>
    <w:bookmarkStart w:id="25" w:name="X5729dbf0db6066b30f53e9af5c9edee5e592600"/>
    <w:p>
      <w:pPr>
        <w:pStyle w:val="Ttulo1"/>
      </w:pPr>
      <w:r>
        <w:t xml:space="preserve">Producto 6: PR6.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esta información de guía puede ser traducida en futuras iniciativas pertenecientes a la hoja de ruta de mejora,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</w:t>
      </w:r>
    </w:p>
    <w:p>
      <w:pPr>
        <w:numPr>
          <w:ilvl w:val="0"/>
          <w:numId w:val="1001"/>
        </w:numPr>
        <w:pStyle w:val="Compact"/>
      </w:pPr>
      <w:r>
        <w:t xml:space="preserve">Portafolio de servicios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Versionamiento de servicios</w:t>
      </w:r>
    </w:p>
    <w:p>
      <w:pPr>
        <w:numPr>
          <w:ilvl w:val="0"/>
          <w:numId w:val="1001"/>
        </w:numPr>
        <w:pStyle w:val="Compact"/>
      </w:pPr>
      <w:r>
        <w:t xml:space="preserve">Monitoreo y operación SOA</w:t>
      </w:r>
    </w:p>
    <w:p>
      <w:pPr>
        <w:numPr>
          <w:ilvl w:val="0"/>
          <w:numId w:val="1001"/>
        </w:numPr>
        <w:pStyle w:val="Compact"/>
      </w:pPr>
      <w:r>
        <w:t xml:space="preserve">Mantenimiento y evolución de servicios</w:t>
      </w:r>
    </w:p>
    <w:p>
      <w:pPr>
        <w:numPr>
          <w:ilvl w:val="0"/>
          <w:numId w:val="1001"/>
        </w:numPr>
        <w:pStyle w:val="Compact"/>
      </w:pPr>
      <w:r>
        <w:t xml:space="preserve">Nuevas tecnologías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2023-01-15T18:44:01Z</dcterms:created>
  <dcterms:modified xsi:type="dcterms:W3CDTF">2023-01-15T18:44:01Z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