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p>
      <w:pPr>
        <w:pStyle w:val="FirstParagraph"/>
      </w:pPr>
    </w:p>
    <w:bookmarkEnd w:id="21"/>
    <w:bookmarkStart w:id="25" w:name="X8ecd8291b4747b63a587a34c535f1ee38fab38a"/>
    <w:p>
      <w:pPr>
        <w:pStyle w:val="Ttulo1"/>
      </w:pPr>
      <w:r>
        <w:t xml:space="preserve">Producto 5: PR5.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</w:t>
      </w:r>
    </w:p>
    <w:p>
      <w:pPr>
        <w:numPr>
          <w:ilvl w:val="0"/>
          <w:numId w:val="1001"/>
        </w:numPr>
        <w:pStyle w:val="Compact"/>
      </w:pPr>
      <w:r>
        <w:t xml:space="preserve">Portafolio de servicios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Monitoreo y operación SOA</w:t>
      </w:r>
    </w:p>
    <w:p>
      <w:pPr>
        <w:numPr>
          <w:ilvl w:val="0"/>
          <w:numId w:val="1001"/>
        </w:numPr>
        <w:pStyle w:val="Compact"/>
      </w:pPr>
      <w:r>
        <w:t xml:space="preserve">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Nuevas tecnologías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2023-01-28T23:08:04Z</dcterms:created>
  <dcterms:modified xsi:type="dcterms:W3CDTF">2023-01-28T23:08:04Z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