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Definición de objetivos del gobierno SOA</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6ddfe81 del 31 Jan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0" w:name="definición-de-objetivos-del-gobierno-soa"/>
    <w:p>
      <w:pPr>
        <w:pStyle w:val="Ttulo2"/>
      </w:pPr>
      <w:r>
        <w:t xml:space="preserve">Definición de objetivos del gobierno SOA</w:t>
      </w:r>
    </w:p>
    <w:p>
      <w:pPr>
        <w:pStyle w:val="FirstParagraph"/>
      </w:pPr>
      <w:r>
        <w:t xml:space="preserve">Dado los niveles de complejidad que el FNA ha alcanzado y por los riesgos tecnológico que contraen las partes analizadas en la Fase 1 de este diagnóstico (ver</w:t>
      </w:r>
      <w:r>
        <w:t xml:space="preserve"> </w:t>
      </w:r>
      <w:hyperlink r:id="rId20">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0">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p>
    <w:bookmarkStart w:id="25"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debe incluir entre sus objetivos, como mínimo, los siguientes</w:t>
      </w:r>
    </w:p>
    <w:p>
      <w:pPr>
        <w:pStyle w:val="Textoindependiente"/>
      </w:pPr>
      <w:r>
        <w:drawing>
          <wp:inline>
            <wp:extent cx="5600700" cy="3473302"/>
            <wp:effectExtent b="0" l="0" r="0" t="0"/>
            <wp:docPr descr="" title="" id="22" name="Picture"/>
            <a:graphic>
              <a:graphicData uri="http://schemas.openxmlformats.org/drawingml/2006/picture">
                <pic:pic>
                  <pic:nvPicPr>
                    <pic:cNvPr descr="images/GobiernoSOA.3n.png" id="23" name="Picture"/>
                    <pic:cNvPicPr>
                      <a:picLocks noChangeArrowheads="1" noChangeAspect="1"/>
                    </pic:cNvPicPr>
                  </pic:nvPicPr>
                  <pic:blipFill>
                    <a:blip r:embed="rId21"/>
                    <a:stretch>
                      <a:fillRect/>
                    </a:stretch>
                  </pic:blipFill>
                  <pic:spPr bwMode="auto">
                    <a:xfrm>
                      <a:off x="0" y="0"/>
                      <a:ext cx="5600700" cy="3473302"/>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1"/>
        </w:numPr>
        <w:pStyle w:val="Compact"/>
      </w:pPr>
      <w:r>
        <w:t xml:space="preserve">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1"/>
        </w:numPr>
        <w:pStyle w:val="Compact"/>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0">
        <w:r>
          <w:rPr>
            <w:rStyle w:val="Hipervnculo"/>
          </w:rPr>
          <w:t xml:space="preserve">Supervisión de efectividad y factibilidad SOA</w:t>
        </w:r>
      </w:hyperlink>
      <w:r>
        <w:t xml:space="preserve">.</w:t>
      </w:r>
    </w:p>
    <w:p>
      <w:pPr>
        <w:numPr>
          <w:ilvl w:val="0"/>
          <w:numId w:val="1001"/>
        </w:numPr>
        <w:pStyle w:val="Compact"/>
      </w:pPr>
      <w:r>
        <w:t xml:space="preserve">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1"/>
        </w:numPr>
        <w:pStyle w:val="Compact"/>
      </w:pPr>
      <w:r>
        <w:t xml:space="preserve">Vigilar y perseguir el aumento de los índices de adopción, adaptación y efectividad SOA presentes en los análisis de madurez como el realizado en la Fase 1 del diagnóstico presente (ver</w:t>
      </w:r>
      <w:r>
        <w:t xml:space="preserve"> </w:t>
      </w:r>
      <w:hyperlink r:id="rId20">
        <w:r>
          <w:rPr>
            <w:rStyle w:val="Hipervnculo"/>
          </w:rPr>
          <w:t xml:space="preserve">02.Fase 2 PR2 Estudio Madurez SOA FNA</w:t>
        </w:r>
      </w:hyperlink>
      <w:r>
        <w:t xml:space="preserve">).</w:t>
      </w:r>
    </w:p>
    <w:p>
      <w:pPr>
        <w:numPr>
          <w:ilvl w:val="0"/>
          <w:numId w:val="1001"/>
        </w:numPr>
        <w:pStyle w:val="Compact"/>
      </w:pPr>
      <w:r>
        <w:t xml:space="preserve">Poner el marcha el proceso de gobierno SOA del FNA descrito más adelante en este ejercicio (181-2020). Adaptar y monitorear los índices de rendimiento (KPI) del proceso.</w:t>
      </w:r>
    </w:p>
    <w:p>
      <w:pPr>
        <w:pStyle w:val="FirstParagraph"/>
      </w:pPr>
    </w:p>
    <w:bookmarkEnd w:id="25"/>
    <w:bookmarkStart w:id="29"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2"/>
        </w:numPr>
        <w:pStyle w:val="Compact"/>
      </w:pPr>
      <w:r>
        <w:t xml:space="preserve">Desde el área, o rol, de gobierno SOA del FNA, servir de guía en la entrega de soluciones de software conforme a la arquitectura de referencia estregada por esta consultoría.</w:t>
      </w:r>
    </w:p>
    <w:p>
      <w:pPr>
        <w:numPr>
          <w:ilvl w:val="0"/>
          <w:numId w:val="1002"/>
        </w:numPr>
        <w:pStyle w:val="Compact"/>
      </w:pPr>
      <w:r>
        <w:t xml:space="preserve">Informar de desviaciones en la relación de efectividad de costos de los proyectos SOA del FNA (en términos del área de inefectividad de costo e infactibilidad SOA.</w:t>
      </w:r>
    </w:p>
    <w:p>
      <w:pPr>
        <w:numPr>
          <w:ilvl w:val="0"/>
          <w:numId w:val="1002"/>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drawing>
          <wp:inline>
            <wp:extent cx="5600700" cy="4177941"/>
            <wp:effectExtent b="0" l="0" r="0" t="0"/>
            <wp:docPr descr="" title="" id="27" name="Picture"/>
            <a:graphic>
              <a:graphicData uri="http://schemas.openxmlformats.org/drawingml/2006/picture">
                <pic:pic>
                  <pic:nvPicPr>
                    <pic:cNvPr descr="images/GobiernoSOA.3n-2.png" id="28" name="Picture"/>
                    <pic:cNvPicPr>
                      <a:picLocks noChangeArrowheads="1" noChangeAspect="1"/>
                    </pic:cNvPicPr>
                  </pic:nvPicPr>
                  <pic:blipFill>
                    <a:blip r:embed="rId26"/>
                    <a:stretch>
                      <a:fillRect/>
                    </a:stretch>
                  </pic:blipFill>
                  <pic:spPr bwMode="auto">
                    <a:xfrm>
                      <a:off x="0" y="0"/>
                      <a:ext cx="5600700" cy="4177941"/>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secundarios del gobierno SOA del FNA.</w:t>
      </w:r>
    </w:p>
    <w:p>
      <w:pPr>
        <w:pStyle w:val="Textoindependiente"/>
      </w:pPr>
      <w:r>
        <w:rPr>
          <w:iCs/>
          <w:i/>
        </w:rPr>
        <w:t xml:space="preserve">Fuente: elaboración propia.</w:t>
      </w: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2023-01-31T12:43:18Z</dcterms:created>
  <dcterms:modified xsi:type="dcterms:W3CDTF">2023-01-31T12:43:18Z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