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849d888 del 28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bookmarkStart w:id="21"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presentre (ver</w:t>
      </w:r>
      <w:r>
        <w:t xml:space="preserve"> </w:t>
      </w:r>
      <w:hyperlink r:id="rId20">
        <w:r>
          <w:rPr>
            <w:rStyle w:val="Hipervnculo"/>
          </w:rPr>
          <w:t xml:space="preserve">02.Fase 2 PR2 Estudio Madurez SOA FNA</w:t>
        </w:r>
      </w:hyperlink>
      <w:r>
        <w:t xml:space="preserve">).</w:t>
      </w:r>
    </w:p>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2023-01-28T22:23:34Z</dcterms:created>
  <dcterms:modified xsi:type="dcterms:W3CDTF">2023-01-28T22:23:34Z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