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31.png" ContentType="image/png"/>
  <Override PartName="/word/media/rId28.png" ContentType="image/png"/>
  <Override PartName="/word/media/rId21.png" ContentType="image/png"/>
  <Override PartName="/word/media/rId25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891"/>
        <w:gridCol w:w="602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Gobierno SOA:</w:t>
            </w:r>
            <w:r>
              <w:t xml:space="preserve"> </w:t>
            </w:r>
            <w:r>
              <w:rPr>
                <w:bCs/>
                <w:b/>
              </w:rPr>
              <w:t xml:space="preserve">Riesgos tecnológicos del FNA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Gobierno, Riesgo, Objetivos de negocio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b5a623c</w:t>
            </w:r>
            <w:r>
              <w:t xml:space="preserve"> </w:t>
            </w:r>
            <w:r>
              <w:t xml:space="preserve">del 06 Feb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ipervnculo"/>
                </w:rPr>
                <w:t xml:space="preserve">Fase 2 PR6 Gobierno SOA</w:t>
              </w:r>
            </w:hyperlink>
          </w:p>
        </w:tc>
      </w:tr>
    </w:tbl>
    <w:p>
      <w:pPr>
        <w:pStyle w:val="Textoindependiente"/>
      </w:pPr>
    </w:p>
    <w:bookmarkStart w:id="35" w:name="riesgos-tecnológicos-del-fna"/>
    <w:p>
      <w:pPr>
        <w:pStyle w:val="Ttulo2"/>
      </w:pPr>
      <w:r>
        <w:t xml:space="preserve">Riesgos Tecnológicos del FNA</w:t>
      </w:r>
    </w:p>
    <w:p>
      <w:pPr>
        <w:pStyle w:val="FirstParagraph"/>
      </w:pPr>
      <w:r>
        <w:t xml:space="preserve">Los riesgos tecnológicos encontrados en el diagnóstco SOA de Fase 1 (ver</w:t>
      </w:r>
      <w:r>
        <w:t xml:space="preserve"> </w:t>
      </w:r>
      <w:hyperlink r:id="rId20">
        <w:r>
          <w:rPr>
            <w:rStyle w:val="Hipervnculo"/>
          </w:rPr>
          <w:t xml:space="preserve">03.Fase 1 PR3 Resultado Diagnóstico Situación Actual</w:t>
        </w:r>
      </w:hyperlink>
      <w:r>
        <w:t xml:space="preserve">), y que describimos abajo, están incorporados a las vigilancias del gobierno SOA propuesto. A la vez, estos mismos riesgos descritos a continuación deben ser agregados a la matriz de gestión actual del Fondo, y gestionados por los métodos propios con los que ya cuenta el FNA.</w:t>
      </w:r>
    </w:p>
    <w:p>
      <w:pPr>
        <w:pStyle w:val="Textoindependiente"/>
      </w:pPr>
    </w:p>
    <w:bookmarkStart w:id="34" w:name="Xb16148173b312c3417e9191702cf1588a500394"/>
    <w:p>
      <w:pPr>
        <w:pStyle w:val="Ttulo3"/>
      </w:pPr>
      <w:r>
        <w:t xml:space="preserve">Gobierno SOA y Riesgos Tecnológicos del FNA</w:t>
      </w:r>
    </w:p>
    <w:p>
      <w:pPr>
        <w:pStyle w:val="FirstParagraph"/>
      </w:pPr>
      <w:r>
        <w:t xml:space="preserve">El gobierno SOA del FNA debe buscar la capacidad para medir y gestionar (agregar a la lista de riesgos de la empresa) los riesgos que lo están afectando.</w:t>
      </w:r>
    </w:p>
    <w:p>
      <w:pPr>
        <w:numPr>
          <w:ilvl w:val="0"/>
          <w:numId w:val="1001"/>
        </w:numPr>
        <w:pStyle w:val="Compact"/>
      </w:pPr>
      <w:r>
        <w:t xml:space="preserve">R1. Riesgo de agilidad limitada (ver imagen 1)</w:t>
      </w:r>
    </w:p>
    <w:p>
      <w:pPr>
        <w:numPr>
          <w:ilvl w:val="0"/>
          <w:numId w:val="1001"/>
        </w:numPr>
        <w:pStyle w:val="Compact"/>
      </w:pPr>
      <w:r>
        <w:t xml:space="preserve">R2. Riesgo de baja orquestación SOA (ver imagen 2a y 2b)</w:t>
      </w:r>
    </w:p>
    <w:p>
      <w:pPr>
        <w:numPr>
          <w:ilvl w:val="0"/>
          <w:numId w:val="1001"/>
        </w:numPr>
        <w:pStyle w:val="Compact"/>
      </w:pPr>
      <w:r>
        <w:t xml:space="preserve">R3. Riesgo de crecimiento de dependencias entre servicios SOA</w:t>
      </w:r>
    </w:p>
    <w:p>
      <w:pPr>
        <w:numPr>
          <w:ilvl w:val="0"/>
          <w:numId w:val="1001"/>
        </w:numPr>
        <w:pStyle w:val="Compact"/>
      </w:pPr>
      <w:r>
        <w:t xml:space="preserve">R4. Riesgo de crecimiento de adaptadores particulares –opuesto al estándar– (ver imagen 3)</w:t>
      </w:r>
    </w:p>
    <w:p>
      <w:pPr>
        <w:numPr>
          <w:ilvl w:val="0"/>
          <w:numId w:val="1001"/>
        </w:numPr>
        <w:pStyle w:val="Compact"/>
      </w:pPr>
      <w:r>
        <w:t xml:space="preserve">R5. Riesgo de baja reutilización de servicios SOA</w:t>
      </w:r>
    </w:p>
    <w:p>
      <w:pPr>
        <w:numPr>
          <w:ilvl w:val="0"/>
          <w:numId w:val="1001"/>
        </w:numPr>
        <w:pStyle w:val="Compact"/>
      </w:pPr>
      <w:r>
        <w:t xml:space="preserve">R6. Riesgo de permanencia de aplicaciones silos</w:t>
      </w:r>
    </w:p>
    <w:p>
      <w:pPr>
        <w:numPr>
          <w:ilvl w:val="0"/>
          <w:numId w:val="1001"/>
        </w:numPr>
        <w:pStyle w:val="Compact"/>
      </w:pPr>
      <w:r>
        <w:t xml:space="preserve">R7. Riesgo de falta de trazabilidad para la evolución e implementación de los servicios SOA</w:t>
      </w:r>
    </w:p>
    <w:p>
      <w:pPr>
        <w:pStyle w:val="FirstParagraph"/>
      </w:pPr>
    </w:p>
    <w:p>
      <w:pPr>
        <w:pStyle w:val="Figure"/>
      </w:pPr>
      <w:r>
        <w:drawing>
          <wp:inline>
            <wp:extent cx="5600700" cy="2605986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images/ESB-IBM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1.</w:t>
        </w:r>
      </w:hyperlink>
      <w:r>
        <w:t xml:space="preserve"> </w:t>
      </w:r>
      <w:r>
        <w:t xml:space="preserve">Riesgo no. 1 y 2. Agilidad limitada por el proliferación de la copmlejidad en los servicios SOA del Fondo.</w:t>
      </w:r>
    </w:p>
    <w:p>
      <w:pPr>
        <w:pStyle w:val="Textoindependiente"/>
      </w:pPr>
      <w:r>
        <w:rPr>
          <w:iCs/>
          <w:i/>
        </w:rPr>
        <w:t xml:space="preserve">Fuente: elaboración propia,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3464205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images/esb-procesos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64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2a.</w:t>
        </w:r>
      </w:hyperlink>
      <w:r>
        <w:t xml:space="preserve"> </w:t>
      </w:r>
      <w:r>
        <w:t xml:space="preserve">Riesgo no. 2.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de situación actual del FNA no aparecen relaciones de este con los procesos de negocio. La principal utilización del bus (ESB-IBM, en la imagen) está destinada a la integración de aplicaciones.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2872523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images/ESB-IBM-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7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2b.</w:t>
        </w:r>
      </w:hyperlink>
      <w:r>
        <w:t xml:space="preserve"> </w:t>
      </w:r>
      <w:r>
        <w:t xml:space="preserve">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no es posible encontrar relaciones del bus con los procesos.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1808696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images/CRM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0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3.</w:t>
        </w:r>
      </w:hyperlink>
      <w:r>
        <w:t xml:space="preserve"> </w:t>
      </w:r>
      <w:r>
        <w:t xml:space="preserve">Riesgo no. 4 y 5. Caso de CRM del FNA. Le afecta el riesgo de estándarización en la interoperabilidad, aumenta la cantidad de adaptadores particulares.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bookmarkEnd w:id="34"/>
    <w:bookmarkEnd w:id="35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31" Target="media/rId31.png" /><Relationship Type="http://schemas.openxmlformats.org/officeDocument/2006/relationships/image" Id="rId28" Target="media/rId28.png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hyperlink" Id="rId24" Target="" TargetMode="External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4" Target="" TargetMode="External" /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2023-02-06T17:48:59Z</dcterms:created>
  <dcterms:modified xsi:type="dcterms:W3CDTF">2023-02-06T17:48:59Z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