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5.png" ContentType="image/png"/>
  <Override PartName="/word/media/rId2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0a4dbff del 29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p>
      <w:pPr>
        <w:pStyle w:val="Textoindependiente"/>
      </w:pPr>
      <w:r>
        <w:t xml:space="preserve">Los riesgos tecnológicos encontrados en el diagnóstco SOA de Fase 1 deben ser incorporados a las vigilancias del gobierno SOA propuesto. Los riesgos mencionados a continuación deben ser agregados a la matriz de gestión actual del Fondo, y gestionados por los métodos propios ya existentes.</w:t>
      </w:r>
    </w:p>
    <w:p>
      <w:pPr>
        <w:pStyle w:val="Textoindependiente"/>
      </w:pPr>
    </w:p>
    <w:bookmarkStart w:id="28" w:name="X5ac0eb2d86a56156ddf39b74510b8acc3c8c1b9"/>
    <w:p>
      <w:pPr>
        <w:pStyle w:val="Ttulo3"/>
      </w:pPr>
      <w:r>
        <w:t xml:space="preserve">Riesgos Tecnológicos del Gobierno SOA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2)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Textoindependient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Textoindependiente"/>
      </w:pPr>
      <w:r>
        <w:drawing>
          <wp:inline>
            <wp:extent cx="5600700" cy="180869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CRM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2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2023-01-29T00:49:14Z</dcterms:created>
  <dcterms:modified xsi:type="dcterms:W3CDTF">2023-01-29T00:49:14Z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