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5.gif" ContentType="image/gif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Capacidades FNA por Desarrollar para el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Capacidades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350188a del 29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8" w:name="Xfb1d2aabaf6622218d5fc7b7ff0cb40a80934a6"/>
    <w:p>
      <w:pPr>
        <w:pStyle w:val="Ttulo3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futuras del equipo de gobierno SOA o del Comité de arquitectura del Fondo están relacionados directamente con los objeitvos del gobierno SOA y con los riesgos tecnológicos encontrados en la Fase 1 (ver</w:t>
      </w:r>
      <w:r>
        <w:t xml:space="preserve"> </w:t>
      </w:r>
      <w:hyperlink r:id="rId20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0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no es del alcance de esta consultoría, E-Service (contrato 181-2020) desarrollar estas capacidades, lo cual requeriría de otro(s) proyecto. Para esto, el Fondo podría desarrollar las capacidades indicadas por este diagnóstico internamente, o contratar proyectos para su implementación.</w:t>
      </w:r>
    </w:p>
    <w:p>
      <w:pPr>
        <w:pStyle w:val="FirstParagraph"/>
      </w:pPr>
    </w:p>
    <w:p>
      <w:pPr>
        <w:pStyle w:val="Figure"/>
      </w:pPr>
      <w:r>
        <w:drawing>
          <wp:inline>
            <wp:extent cx="5600700" cy="485394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apacidade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CAP1. Realizar e implementar estrategias y entregables para planear y analizar la arquitectura de referencia SOA del Fondo (resultado Fase 2 de este diagnóstico).</w:t>
      </w:r>
    </w:p>
    <w:p>
      <w:pPr>
        <w:numPr>
          <w:ilvl w:val="0"/>
          <w:numId w:val="1001"/>
        </w:numPr>
        <w:pStyle w:val="Compact"/>
      </w:pPr>
      <w:r>
        <w:t xml:space="preserve">CAP2.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</w:t>
      </w:r>
    </w:p>
    <w:p>
      <w:pPr>
        <w:numPr>
          <w:ilvl w:val="0"/>
          <w:numId w:val="1001"/>
        </w:numPr>
        <w:pStyle w:val="Compact"/>
      </w:pPr>
      <w:r>
        <w:t xml:space="preserve">CAP3. Realizar y gestionar la puesta en marcha de hojas de ruta para cerrar brechas y alcanzar estados futuros de la arquitectura (TOGAF 9, Fase G, Implementation governance). Ver imagen 2.</w:t>
      </w:r>
    </w:p>
    <w:p>
      <w:pPr>
        <w:numPr>
          <w:ilvl w:val="0"/>
          <w:numId w:val="1001"/>
        </w:numPr>
        <w:pStyle w:val="Compact"/>
      </w:pPr>
      <w:r>
        <w:t xml:space="preserve">CAP4. Ejercitar la trazabilidad de los activos y productos de TI con los productos y decisiones de negocio de las áreas del FNA, como la vicepresidencia de Crédito y la de Operaciones ante la llegada de impactos, cambios, reformas y bajas tecnológicas.</w:t>
      </w:r>
    </w:p>
    <w:p>
      <w:pPr>
        <w:numPr>
          <w:ilvl w:val="0"/>
          <w:numId w:val="1001"/>
        </w:numPr>
        <w:pStyle w:val="Compact"/>
      </w:pPr>
      <w:r>
        <w:t xml:space="preserve">CAP5. Realizar análisis de impacto, riesgos, costo beneficio, capacidad usada, y gestión de demanda ante la evaluación de cambios a la arquitectura de referencia SOA y activos de TI, cuando lo amerite.</w:t>
      </w:r>
    </w:p>
    <w:p>
      <w:pPr>
        <w:numPr>
          <w:ilvl w:val="0"/>
          <w:numId w:val="1001"/>
        </w:numPr>
        <w:pStyle w:val="Compact"/>
      </w:pPr>
      <w:r>
        <w:t xml:space="preserve">CAP6. Emitir y gestionar los contenidos de documentación técnica, como principios, restricciones tecnológicas, marcos de trabajo, normas, diseños, y estándares para el uso de los proveedores, servicios de fábricas del FNA, planta interna, Comunicación y Planeación.</w:t>
      </w:r>
    </w:p>
    <w:p>
      <w:pPr>
        <w:numPr>
          <w:ilvl w:val="0"/>
          <w:numId w:val="1001"/>
        </w:numPr>
        <w:pStyle w:val="Compact"/>
      </w:pPr>
      <w:r>
        <w:t xml:space="preserve">CAP7.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</w:t>
      </w:r>
    </w:p>
    <w:p>
      <w:pPr>
        <w:pStyle w:val="FirstParagraph"/>
      </w:pPr>
    </w:p>
    <w:p>
      <w:pPr>
        <w:pStyle w:val="Figure"/>
      </w:pPr>
      <w:r>
        <w:drawing>
          <wp:inline>
            <wp:extent cx="4406900" cy="5791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adm.gif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www.opengroup.org/soa/source-book/togaf.</w:t>
      </w: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5" Target="media/rId25.gif" /><Relationship Type="http://schemas.openxmlformats.org/officeDocument/2006/relationships/image" Id="rId21" Target="media/rId21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2023-01-29T03:36:28Z</dcterms:created>
  <dcterms:modified xsi:type="dcterms:W3CDTF">2023-01-29T03:36:28Z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