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9652d0b</w:t>
            </w:r>
            <w:r>
              <w:t xml:space="preserve"> </w:t>
            </w:r>
            <w:r>
              <w:t xml:space="preserve">del 07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para el FNA es clave mantener activo el vínculo de sus activos tanto de infraestructura como los activos SOA (y de todos, aunque se escapen del alcance de este ejercicio) con el contexto de negocio de las vicepresidencias de Operaciones y de Crédito</w:t>
      </w:r>
      <w:r>
        <w:t xml:space="preserve">. Esto es, el principal indicador del gobierno SOA es la existencia y actualidad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2023-02-07T13:43:50Z</dcterms:created>
  <dcterms:modified xsi:type="dcterms:W3CDTF">2023-02-07T13:43:50Z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