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Mejora de los indicadores de efectividad (madurez) SOA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5fbda04</w:t>
            </w:r>
            <w:r>
              <w:t xml:space="preserve"> </w:t>
            </w:r>
            <w:r>
              <w:t xml:space="preserve">del 06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25" w:name="Xff4f42baf9b50ac01936928b2c96ee550898d14"/>
    <w:p>
      <w:pPr>
        <w:pStyle w:val="Ttulo2"/>
      </w:pPr>
      <w:r>
        <w:t xml:space="preserve">Indicadores de Efectividad del Gobierno SOA</w:t>
      </w:r>
    </w:p>
    <w:p>
      <w:pPr>
        <w:pStyle w:val="FirstParagraph"/>
      </w:pPr>
      <w:r>
        <w:t xml:space="preserve">Más allá de los índices propuestos por el análisis de madurez SOA desarrollado en la Fase 1 de este diagnóstico,</w:t>
      </w:r>
      <w:r>
        <w:t xml:space="preserve"> </w:t>
      </w:r>
      <w:r>
        <w:rPr>
          <w:iCs/>
          <w:i/>
        </w:rPr>
        <w:t xml:space="preserve">para el FNA es clave mantener activo el vínculo de sus activos tanto de infraestructura como los activos SOA (y de todos, aunque se escapen del alcance de este ejercicio) con el contexto de negocio de las vicepresidencias de Operaciones y de Crédito</w:t>
      </w:r>
      <w:r>
        <w:t xml:space="preserve">. Esto es, el principal indicador del gobierno SOA es la existencia y actualidad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r>
        <w:t xml:space="preserve"> </w:t>
      </w: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p>
      <w:pPr>
        <w:pStyle w:val="Figure"/>
      </w:pPr>
      <w:r>
        <w:drawing>
          <wp:inline>
            <wp:extent cx="5600700" cy="4070237"/>
            <wp:effectExtent b="0" l="0" r="0" t="0"/>
            <wp:docPr descr="" title="" id="22" name="Picture"/>
            <a:graphic>
              <a:graphicData uri="http://schemas.openxmlformats.org/drawingml/2006/picture">
                <pic:pic>
                  <pic:nvPicPr>
                    <pic:cNvPr descr="images/vinculocontexto.png" id="23" name="Picture"/>
                    <pic:cNvPicPr>
                      <a:picLocks noChangeArrowheads="1" noChangeAspect="1"/>
                    </pic:cNvPicPr>
                  </pic:nvPicPr>
                  <pic:blipFill>
                    <a:blip r:embed="rId21"/>
                    <a:stretch>
                      <a:fillRect/>
                    </a:stretch>
                  </pic:blipFill>
                  <pic:spPr bwMode="auto">
                    <a:xfrm>
                      <a:off x="0" y="0"/>
                      <a:ext cx="5600700" cy="40702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bookmarkEnd w:id="25"/>
    <w:bookmarkStart w:id="29"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0">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p>
      <w:pPr>
        <w:pStyle w:val="Figure"/>
      </w:pPr>
      <w:r>
        <w:drawing>
          <wp:inline>
            <wp:extent cx="5600700" cy="3752043"/>
            <wp:effectExtent b="0" l="0" r="0" t="0"/>
            <wp:docPr descr="" title="" id="27" name="Picture"/>
            <a:graphic>
              <a:graphicData uri="http://schemas.openxmlformats.org/drawingml/2006/picture">
                <pic:pic>
                  <pic:nvPicPr>
                    <pic:cNvPr descr="images/indices.png" id="28" name="Picture"/>
                    <pic:cNvPicPr>
                      <a:picLocks noChangeArrowheads="1" noChangeAspect="1"/>
                    </pic:cNvPicPr>
                  </pic:nvPicPr>
                  <pic:blipFill>
                    <a:blip r:embed="rId26"/>
                    <a:stretch>
                      <a:fillRect/>
                    </a:stretch>
                  </pic:blipFill>
                  <pic:spPr bwMode="auto">
                    <a:xfrm>
                      <a:off x="0" y="0"/>
                      <a:ext cx="5600700" cy="3752043"/>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9"/>
    <w:bookmarkStart w:id="34" w:name="indicadores-de-eficiencia-soa"/>
    <w:p>
      <w:pPr>
        <w:pStyle w:val="Ttulo2"/>
      </w:pPr>
      <w:r>
        <w:t xml:space="preserve">Indicadores de Eficiencia SOA</w:t>
      </w:r>
    </w:p>
    <w:p>
      <w:pPr>
        <w:pStyle w:val="FirstParagraph"/>
      </w:pPr>
      <w:r>
        <w:t xml:space="preserve">Además de los indicadores del proceso de gobierno SOA enunciados arriba, el FNA debe ejercer el gobierno SOA sobre los siguientes indicadores de eficiencia de la arquitectura de referencia.</w:t>
      </w:r>
    </w:p>
    <w:bookmarkStart w:id="33" w:name="X613dc9b64f9480fc1af9f127d0070c3e6fb1d53"/>
    <w:p>
      <w:pPr>
        <w:pStyle w:val="Ttulo3"/>
      </w:pPr>
      <w:r>
        <w:t xml:space="preserve">Del Análisis de Madurez SOA del FNA (Fase 1)</w:t>
      </w:r>
    </w:p>
    <w:p>
      <w:pPr>
        <w:pStyle w:val="FirstParagraph"/>
      </w:pPr>
      <w:r>
        <w:t xml:space="preserve">La dimensión que tuvo puntajes meritorios fue la de Negocio que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2023-02-06T16:56:00Z</dcterms:created>
  <dcterms:modified xsi:type="dcterms:W3CDTF">2023-02-06T16:56:00Z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