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e30ca49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6" w:name="X2c7d80a4d56320d625faede14ffe34205afaf66"/>
    <w:p>
      <w:pPr>
        <w:pStyle w:val="Ttulo2"/>
      </w:pPr>
      <w:r>
        <w:t xml:space="preserve">Indicadores Complementarios del Gobierno SOA</w:t>
      </w:r>
    </w:p>
    <w:p>
      <w:pPr>
        <w:pStyle w:val="FirstParagraph"/>
      </w:pPr>
      <w:r>
        <w:t xml:space="preserve">Los siguientes indicadores sirven de base de pirámide para el indicador principal.</w:t>
      </w:r>
    </w:p>
    <w:p>
      <w:r>
        <w:pict>
          <v:rect style="width:0;height:1.5pt" o:hralign="center" o:hrstd="t" o:hr="t"/>
        </w:pict>
      </w:r>
    </w:p>
    <w:p>
      <w:pPr>
        <w:pStyle w:val="FirstParagraph"/>
      </w:pPr>
      <w:r>
        <w:t xml:space="preserve">El principal aspecto que determina</w:t>
      </w:r>
      <w:r>
        <w:t xml:space="preserve"> </w:t>
      </w:r>
      <w:r>
        <w:t xml:space="preserve">Through its linking of the business context to information technology, enterprise architecture readily identifies and provides justification for the cost of change programs in relation to the business value to be derived from the effort. Enterprise architecture may provide the context and analysis capabilities to support:</w:t>
      </w:r>
    </w:p>
    <w:p>
      <w:pPr>
        <w:pStyle w:val="Textoindependiente"/>
      </w:pPr>
      <w:r>
        <w:t xml:space="preserve">Showing how SOA solutions can be effectively architected to support business capabilities</w:t>
      </w:r>
      <w:r>
        <w:t xml:space="preserve"> </w:t>
      </w:r>
      <w:r>
        <w:t xml:space="preserve">Showing which services should be built and which should be re-used</w:t>
      </w:r>
      <w:r>
        <w:t xml:space="preserve"> </w:t>
      </w:r>
      <w:r>
        <w:t xml:space="preserve">Showing how services should be designed</w: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2023-01-31T03:46:19Z</dcterms:created>
  <dcterms:modified xsi:type="dcterms:W3CDTF">2023-01-31T03:46:19Z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