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b0b41a1</w:t>
            </w:r>
            <w:r>
              <w:t xml:space="preserve"> </w:t>
            </w:r>
            <w:r>
              <w:t xml:space="preserve">del 07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4"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Un Marco de trabajo adaptado para la organización que responde y gestiona los cambios evolutivos de la arquitectura de referencia SOA instalada en el Fondo. Esta versión del marco de gobierno, que necesariamente es una versión inicial para el FNA dado el resultado del análisis de madurez de la Fase 1, procura únicamente la gestión de cambios de la arquitectura. Versiones posteriores de este modelo puede y deberá abordar problemáticas señaladas por nuevos análisis.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bookmarkEnd w:id="25"/>
    <w:bookmarkStart w:id="29" w:name="X802b6048edc5ed7cd034d9036d554bc89e00fc6"/>
    <w:p>
      <w:pPr>
        <w:pStyle w:val="Ttulo3"/>
      </w:pPr>
      <w:r>
        <w:t xml:space="preserve">Equpo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y componentes, infraestructura tecnológica y redes, aplicaciones de solución y herramientas de software y del especialista de las estructuras de negocio e información. Estos recursos deben ser preferiblemente internos a la organización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3" w:name="proceso-de-gobierno-soa-para-el-fna"/>
    <w:p>
      <w:pPr>
        <w:pStyle w:val="Ttulo3"/>
      </w:pPr>
      <w:r>
        <w:t xml:space="preserve">Proceso de Gobierno SOA para el FNA</w:t>
      </w:r>
    </w:p>
    <w:p>
      <w:pPr>
        <w:pStyle w:val="FirstParagraph"/>
      </w:pPr>
      <w:r>
        <w:t xml:space="preserve">Por último, el proceso de gobierno SOA es la conjugación de las dos condiciones aquí presentadas, el marco de trabajo (acciones y herramientas) y el equipo de trabajo, que son los recursos de capital humano y sus intereacciones. Este proceso adaptado al FNA busca alcanzar los objetivos SOA determinados por este diagnóstico. (ver imagen abajo)</w:t>
      </w:r>
    </w:p>
    <w:p>
      <w:pPr>
        <w:pStyle w:val="Figure"/>
      </w:pPr>
      <w:r>
        <w:drawing>
          <wp:inline>
            <wp:extent cx="5600700" cy="2139593"/>
            <wp:effectExtent b="0" l="0" r="0" t="0"/>
            <wp:docPr descr="" title="" id="31" name="Picture"/>
            <a:graphic>
              <a:graphicData uri="http://schemas.openxmlformats.org/drawingml/2006/picture">
                <pic:pic>
                  <pic:nvPicPr>
                    <pic:cNvPr descr="images/proceso-gob.png" id="32" name="Picture"/>
                    <pic:cNvPicPr>
                      <a:picLocks noChangeArrowheads="1" noChangeAspect="1"/>
                    </pic:cNvPicPr>
                  </pic:nvPicPr>
                  <pic:blipFill>
                    <a:blip r:embed="rId30"/>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De esa manera, las capacidades SOA relacionadas con este proceso buscan lograr los objetivos SOA establecidos por esta consultoría y que el FNA debe perseguir.</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2023-02-07T19:32:11Z</dcterms:created>
  <dcterms:modified xsi:type="dcterms:W3CDTF">2023-02-07T19:32:11Z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