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b22d0ff</w:t>
            </w:r>
            <w:r>
              <w:t xml:space="preserve"> </w:t>
            </w:r>
            <w:r>
              <w:t xml:space="preserve">del 14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5"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Antes de implementar lo que llamamos Gobierno SOA del FNA, es requisito contar con un marco de trabajo adaptado para el segmento de la empresa y que responda y gestione los cambios evolutivos de la arquitectura de referencia SOA instalada en el Fondo. Esta versión del marco de gobierno, que necesariamente es una versión inicial para el FNA dado el resultado del análisis de madurez de la Fase 1, procura únicamente cubrir de entrada la gestión de cambios de la arquitectura. Versiones posteriores de este modelo pueden y deberán abordar otras problemáticas señaladas por este diagnóstico o alguna de sus actualizaciones.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bookmarkEnd w:id="25"/>
    <w:bookmarkStart w:id="29" w:name="X802b6048edc5ed7cd034d9036d554bc89e00fc6"/>
    <w:p>
      <w:pPr>
        <w:pStyle w:val="Ttulo3"/>
      </w:pPr>
      <w:r>
        <w:t xml:space="preserve">Equpo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y componentes, infraestructura tecnológica y redes, aplicaciones de solución y herramientas de software y del especialista de las estructuras de negocio e información. Estos recursos deben ser preferiblemente internos a la organización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3" w:name="proceso-de-gobierno-soa-para-el-fna"/>
    <w:p>
      <w:pPr>
        <w:pStyle w:val="Ttulo3"/>
      </w:pPr>
      <w:r>
        <w:t xml:space="preserve">Proceso de Gobierno SOA para 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p>
      <w:pPr>
        <w:pStyle w:val="Figure"/>
      </w:pPr>
      <w:r>
        <w:drawing>
          <wp:inline>
            <wp:extent cx="5600700" cy="2139593"/>
            <wp:effectExtent b="0" l="0" r="0" t="0"/>
            <wp:docPr descr="" title="" id="31" name="Picture"/>
            <a:graphic>
              <a:graphicData uri="http://schemas.openxmlformats.org/drawingml/2006/picture">
                <pic:pic>
                  <pic:nvPicPr>
                    <pic:cNvPr descr="images/proceso-gob.png" id="32" name="Picture"/>
                    <pic:cNvPicPr>
                      <a:picLocks noChangeArrowheads="1" noChangeAspect="1"/>
                    </pic:cNvPicPr>
                  </pic:nvPicPr>
                  <pic:blipFill>
                    <a:blip r:embed="rId30"/>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p>
    <w:bookmarkEnd w:id="33"/>
    <w:bookmarkStart w:id="34" w:name="gestión-del-cambio-e-impacto-incepción"/>
    <w:p>
      <w:pPr>
        <w:pStyle w:val="Ttulo3"/>
      </w:pPr>
      <w:r>
        <w:t xml:space="preserve">1. 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p>
      <w:pPr>
        <w:pStyle w:val="Textoindependiente"/>
      </w:pPr>
    </w:p>
    <w:tbl>
      <w:tblPr>
        <w:tblStyle w:val="Table"/>
        <w:tblW w:type="pct" w:w="5000"/>
        <w:tblLook w:firstRow="1" w:lastRow="0" w:firstColumn="0" w:lastColumn="0" w:noHBand="0" w:noVBand="0" w:val="0020"/>
      </w:tblPr>
      <w:tblGrid>
        <w:gridCol w:w="3203"/>
        <w:gridCol w:w="4716"/>
      </w:tblGrid>
      <w:tr>
        <w:trPr>
          <w:tblHeader w:val="true"/>
        </w:trPr>
        <w:tc>
          <w:tcPr/>
          <w:p>
            <w:pPr>
              <w:pStyle w:val="Compact"/>
              <w:jc w:val="left"/>
            </w:pPr>
            <w:r>
              <w:t xml:space="preserve">Parte de la arquitectura a cambiar</w:t>
            </w:r>
          </w:p>
        </w:tc>
        <w:tc>
          <w:tcPr/>
          <w:p>
            <w:pPr>
              <w:pStyle w:val="Compact"/>
              <w:jc w:val="left"/>
            </w:pPr>
            <w:r>
              <w:t xml:space="preserve">Contexto del cambio…</w:t>
            </w:r>
          </w:p>
        </w:tc>
      </w:tr>
      <w:tr>
        <w:tc>
          <w:tcPr/>
          <w:p>
            <w:pPr>
              <w:pStyle w:val="Compact"/>
              <w:jc w:val="left"/>
            </w:pPr>
            <w:r>
              <w:t xml:space="preserve">Justificación</w:t>
            </w:r>
          </w:p>
        </w:tc>
        <w:tc>
          <w:tcPr/>
          <w:p>
            <w:pPr>
              <w:pStyle w:val="Compact"/>
            </w:pPr>
          </w:p>
        </w:tc>
      </w:tr>
      <w:tr>
        <w:tc>
          <w:tcPr/>
          <w:p>
            <w:pPr>
              <w:pStyle w:val="Compact"/>
              <w:jc w:val="left"/>
            </w:pPr>
            <w:r>
              <w:t xml:space="preserve">Implicaciones</w:t>
            </w:r>
          </w:p>
        </w:tc>
        <w:tc>
          <w:tcPr/>
          <w:p>
            <w:pPr>
              <w:pStyle w:val="Compact"/>
              <w:jc w:val="left"/>
            </w:pPr>
            <w:r>
              <w:t xml:space="preserve">Restricciones: utilización de estándares abiertos…</w:t>
            </w:r>
          </w:p>
        </w:tc>
      </w:tr>
      <w:tr>
        <w:tc>
          <w:tcPr/>
          <w:p>
            <w:pPr>
              <w:pStyle w:val="Compact"/>
            </w:pPr>
          </w:p>
        </w:tc>
        <w:tc>
          <w:tcPr/>
          <w:p>
            <w:pPr>
              <w:pStyle w:val="Compact"/>
              <w:jc w:val="left"/>
            </w:pPr>
            <w:r>
              <w:t xml:space="preserve">Condiciones: doble revisión…</w:t>
            </w:r>
          </w:p>
        </w:tc>
      </w:tr>
    </w:tbl>
    <w:p>
      <w:pPr>
        <w:pStyle w:val="Textoindependiente"/>
      </w:pPr>
      <w:hyperlink r:id="rId24">
        <w:r>
          <w:rPr>
            <w:rStyle w:val="Hipervnculo"/>
          </w:rPr>
          <w:t xml:space="preserve">Tabla.</w:t>
        </w:r>
      </w:hyperlink>
      <w:r>
        <w:t xml:space="preserve"> </w:t>
      </w:r>
      <w:r>
        <w:t xml:space="preserve">Ficha descriptiva inicial para el FNA. La ficha presenta e inicia el paso de descripción del cambio en la arquitectura del FNA.</w:t>
      </w:r>
    </w:p>
    <w:p>
      <w:pPr>
        <w:pStyle w:val="Textoindependiente"/>
      </w:pPr>
      <w:r>
        <w:rPr>
          <w:iCs/>
          <w:i/>
        </w:rPr>
        <w:t xml:space="preserve">Fuente: elaboración propia.</w:t>
      </w:r>
    </w:p>
    <w:bookmarkEnd w:id="34"/>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2023-02-14T12:40:37Z</dcterms:created>
  <dcterms:modified xsi:type="dcterms:W3CDTF">2023-02-14T12:40:37Z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