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 de trabajo, Eficacia, KPI, Proceso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3cc07d6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Un flujo básico de trabajo para la oficina de arquitectura toma como evento inicial la petición de cambiar o la necesidad de análizar un cambio. Los demás pasos se resumen a continuación.</w:t>
      </w:r>
    </w:p>
    <w:p>
      <w:pPr>
        <w:numPr>
          <w:ilvl w:val="0"/>
          <w:numId w:val="1001"/>
        </w:numPr>
        <w:pStyle w:val="Compact"/>
      </w:pPr>
      <w:r>
        <w:t xml:space="preserve">Recibe el cambio​</w:t>
      </w:r>
    </w:p>
    <w:p>
      <w:pPr>
        <w:numPr>
          <w:ilvl w:val="0"/>
          <w:numId w:val="1001"/>
        </w:numPr>
        <w:pStyle w:val="Compact"/>
      </w:pPr>
      <w:r>
        <w:t xml:space="preserve">Inicia el proceso ADM - fase de preliminar: alistamiento y aprobación​</w:t>
      </w:r>
    </w:p>
    <w:p>
      <w:pPr>
        <w:numPr>
          <w:ilvl w:val="0"/>
          <w:numId w:val="1001"/>
        </w:numPr>
        <w:pStyle w:val="Compact"/>
      </w:pPr>
      <w:r>
        <w:t xml:space="preserve">Inicia el modelado​</w:t>
      </w:r>
    </w:p>
    <w:p>
      <w:pPr>
        <w:numPr>
          <w:ilvl w:val="0"/>
          <w:numId w:val="1001"/>
        </w:numPr>
        <w:pStyle w:val="Compact"/>
      </w:pPr>
      <w:r>
        <w:t xml:space="preserve">Continúa el proceso ADM - solicita implementación / gobierno</w:t>
      </w:r>
    </w:p>
    <w:p>
      <w:pPr>
        <w:pStyle w:val="FirstParagraph"/>
      </w:pPr>
      <w:r>
        <w:t xml:space="preserve">La siguiente imagen ilustra los pasos descritos.</w:t>
      </w:r>
    </w:p>
    <w:p>
      <w:pPr>
        <w:pStyle w:val="Figure"/>
      </w:pPr>
      <w:r>
        <w:drawing>
          <wp:inline>
            <wp:extent cx="5600700" cy="472995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lujoarqAD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Actividades y relaciones de los estados de un flujo de trabajo de la oficina de arquitectura con arreglo al proceso ADM de TOGAF. Flujo recomendado para la oficina de arquitectura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Una variante del flujo de trabajo arquitectura ADM, y más sgnificativa para el FNA, incorpora los tipos de análisis que dentro del flujo se llevan a cabo.</w:t>
      </w:r>
    </w:p>
    <w:p>
      <w:pPr>
        <w:numPr>
          <w:ilvl w:val="0"/>
          <w:numId w:val="1002"/>
        </w:numPr>
        <w:pStyle w:val="Compact"/>
      </w:pPr>
      <w:r>
        <w:t xml:space="preserve">Arq1 recibe el cambio</w:t>
      </w:r>
    </w:p>
    <w:p>
      <w:pPr>
        <w:numPr>
          <w:ilvl w:val="0"/>
          <w:numId w:val="1002"/>
        </w:numPr>
        <w:pStyle w:val="Compact"/>
      </w:pPr>
      <w:r>
        <w:t xml:space="preserve">Inicia el proceso ADM - fase de preliminar: alistamiento y probación</w:t>
      </w:r>
    </w:p>
    <w:p>
      <w:pPr>
        <w:numPr>
          <w:ilvl w:val="0"/>
          <w:numId w:val="1002"/>
        </w:numPr>
        <w:pStyle w:val="Compact"/>
      </w:pPr>
      <w:r>
        <w:t xml:space="preserve">Inicia el modelado</w:t>
      </w:r>
    </w:p>
    <w:p>
      <w:pPr>
        <w:numPr>
          <w:ilvl w:val="1"/>
          <w:numId w:val="1003"/>
        </w:numPr>
        <w:pStyle w:val="Compact"/>
      </w:pPr>
      <w:r>
        <w:t xml:space="preserve">Creación de contenidos</w:t>
      </w:r>
    </w:p>
    <w:p>
      <w:pPr>
        <w:numPr>
          <w:ilvl w:val="1"/>
          <w:numId w:val="1003"/>
        </w:numPr>
        <w:pStyle w:val="Compact"/>
      </w:pPr>
      <w:r>
        <w:t xml:space="preserve">Diseño</w:t>
      </w:r>
    </w:p>
    <w:p>
      <w:pPr>
        <w:numPr>
          <w:ilvl w:val="2"/>
          <w:numId w:val="1004"/>
        </w:numPr>
        <w:pStyle w:val="Compact"/>
      </w:pPr>
      <w:r>
        <w:t xml:space="preserve">Inicia diseño conceptual (nivel 100): appl, datos, TI, servicios, inversión</w:t>
      </w:r>
    </w:p>
    <w:p>
      <w:pPr>
        <w:numPr>
          <w:ilvl w:val="2"/>
          <w:numId w:val="1004"/>
        </w:numPr>
        <w:pStyle w:val="Compact"/>
      </w:pPr>
      <w:r>
        <w:t xml:space="preserve">Bloques de construcción abstractos</w:t>
      </w:r>
    </w:p>
    <w:p>
      <w:pPr>
        <w:numPr>
          <w:ilvl w:val="1"/>
          <w:numId w:val="1003"/>
        </w:numPr>
        <w:pStyle w:val="Compact"/>
      </w:pPr>
      <w:r>
        <w:t xml:space="preserve">Solución</w:t>
      </w:r>
    </w:p>
    <w:p>
      <w:pPr>
        <w:numPr>
          <w:ilvl w:val="2"/>
          <w:numId w:val="1005"/>
        </w:numPr>
        <w:pStyle w:val="Compact"/>
      </w:pPr>
      <w:r>
        <w:t xml:space="preserve">Bloques de construcción de solución</w:t>
      </w:r>
    </w:p>
    <w:p>
      <w:pPr>
        <w:numPr>
          <w:ilvl w:val="2"/>
          <w:numId w:val="1005"/>
        </w:numPr>
        <w:pStyle w:val="Compact"/>
      </w:pPr>
      <w:r>
        <w:t xml:space="preserve">Solicita diseño detallado (nivel 200, 300, 400 o 500): appl, datos, técnica, servicios</w:t>
      </w:r>
    </w:p>
    <w:p>
      <w:pPr>
        <w:numPr>
          <w:ilvl w:val="1"/>
          <w:numId w:val="1003"/>
        </w:numPr>
        <w:pStyle w:val="Compact"/>
      </w:pPr>
      <w:r>
        <w:t xml:space="preserve">Inicia análisis</w:t>
      </w:r>
    </w:p>
    <w:p>
      <w:pPr>
        <w:numPr>
          <w:ilvl w:val="2"/>
          <w:numId w:val="1006"/>
        </w:numPr>
        <w:pStyle w:val="Compact"/>
      </w:pPr>
      <w:r>
        <w:t xml:space="preserve">Impacto</w:t>
      </w:r>
    </w:p>
    <w:p>
      <w:pPr>
        <w:numPr>
          <w:ilvl w:val="2"/>
          <w:numId w:val="1006"/>
        </w:numPr>
        <w:pStyle w:val="Compact"/>
      </w:pPr>
      <w:r>
        <w:t xml:space="preserve">Costo / beneficio</w:t>
      </w:r>
    </w:p>
    <w:p>
      <w:pPr>
        <w:numPr>
          <w:ilvl w:val="2"/>
          <w:numId w:val="1006"/>
        </w:numPr>
        <w:pStyle w:val="Compact"/>
      </w:pPr>
      <w:r>
        <w:t xml:space="preserve">Plan de cambios</w:t>
      </w:r>
    </w:p>
    <w:p>
      <w:pPr>
        <w:numPr>
          <w:ilvl w:val="2"/>
          <w:numId w:val="1006"/>
        </w:numPr>
        <w:pStyle w:val="Compact"/>
      </w:pPr>
      <w:r>
        <w:t xml:space="preserve">Estimación</w:t>
      </w:r>
    </w:p>
    <w:p>
      <w:pPr>
        <w:numPr>
          <w:ilvl w:val="2"/>
          <w:numId w:val="1006"/>
        </w:numPr>
        <w:pStyle w:val="Compact"/>
      </w:pPr>
      <w:r>
        <w:t xml:space="preserve">Complejidad</w:t>
      </w:r>
    </w:p>
    <w:p>
      <w:pPr>
        <w:numPr>
          <w:ilvl w:val="2"/>
          <w:numId w:val="1006"/>
        </w:numPr>
        <w:pStyle w:val="Compact"/>
      </w:pPr>
      <w:r>
        <w:t xml:space="preserve">Estructural</w:t>
      </w:r>
    </w:p>
    <w:p>
      <w:pPr>
        <w:numPr>
          <w:ilvl w:val="2"/>
          <w:numId w:val="1006"/>
        </w:numPr>
        <w:pStyle w:val="Compact"/>
      </w:pPr>
      <w:r>
        <w:t xml:space="preserve">Otros</w:t>
      </w:r>
    </w:p>
    <w:p>
      <w:pPr>
        <w:numPr>
          <w:ilvl w:val="0"/>
          <w:numId w:val="1002"/>
        </w:numPr>
        <w:pStyle w:val="Compact"/>
      </w:pPr>
      <w:r>
        <w:t xml:space="preserve">Solicita al Arq solución el inicio del proceso ADM - fases de implementación / gobierno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2023-07-27T12:04:24Z</dcterms:created>
  <dcterms:modified xsi:type="dcterms:W3CDTF">2023-07-27T12:04:24Z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