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30"/>
        <w:gridCol w:w="6689"/>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a8db744</w:t>
            </w:r>
            <w:r>
              <w:t xml:space="preserve"> </w:t>
            </w:r>
            <w:r>
              <w:t xml:space="preserve">del 25 Apr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6"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2a517239ca91d9b18ae79e692d4c2cf06b8d19e"/>
    <w:p>
      <w:pPr>
        <w:pStyle w:val="Ttulo3"/>
      </w:pPr>
      <w:r>
        <w:t xml:space="preserve">Equipo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0" w:name="X92028e2545d9ad56d8b8de504901b37e38e3968"/>
    <w:p>
      <w:pPr>
        <w:pStyle w:val="Ttulo3"/>
      </w:pPr>
      <w:r>
        <w:t xml:space="preserve">Perfiles del Equipo de Trabajo de Gobierno</w:t>
      </w:r>
    </w:p>
    <w:p>
      <w:pPr>
        <w:pStyle w:val="FirstParagraph"/>
      </w:pPr>
      <w:r>
        <w:t xml:space="preserve">El personal propuesto arriba en equipo de trabajo necesario para la ejecución del gobierno SOA, que se materializa en la puesta en marcha de una oficina de arquitectura interna, compone un grupo interdisciplinario en el que recae la no menor responsabilidad del éxito del gobierno, y con ello, la consecusión de los objetivos que de la Vicepresidencia de Tecnología se espera. Por tanto, este equipo interdiscioplinario deberá cumplir con niveles altos de formación y experiencia tales que estén a la altura de esta exigencia.</w:t>
      </w:r>
    </w:p>
    <w:p>
      <w:pPr>
        <w:pStyle w:val="Textoindependiente"/>
      </w:pPr>
      <w:r>
        <w:t xml:space="preserve">La formación y experiencia que desde este ejercicio de diagnóstico declaramos necesario para la oficina de arquitectura del FNA que garanticen la adecuada ejecución de las actividades propias de esta nueva oficina y del gobierno SOA del FNA es la siguiente.</w:t>
      </w:r>
    </w:p>
    <w:tbl>
      <w:tblPr>
        <w:tblStyle w:val="Table"/>
        <w:tblW w:type="pct" w:w="5000"/>
        <w:tblLook w:firstRow="1" w:lastRow="0" w:firstColumn="0" w:lastColumn="0" w:noHBand="0" w:noVBand="0" w:val="0020"/>
      </w:tblPr>
      <w:tblGrid>
        <w:gridCol w:w="276"/>
        <w:gridCol w:w="4019"/>
        <w:gridCol w:w="543"/>
        <w:gridCol w:w="3081"/>
      </w:tblGrid>
      <w:tr>
        <w:trPr>
          <w:tblHeader w:val="true"/>
        </w:trPr>
        <w:tc>
          <w:tcPr/>
          <w:p>
            <w:pPr>
              <w:pStyle w:val="Compact"/>
              <w:jc w:val="left"/>
            </w:pPr>
            <w:r>
              <w:t xml:space="preserve">Perfil</w:t>
            </w:r>
          </w:p>
        </w:tc>
        <w:tc>
          <w:tcPr/>
          <w:p>
            <w:pPr>
              <w:pStyle w:val="Compact"/>
              <w:jc w:val="left"/>
            </w:pPr>
            <w:r>
              <w:t xml:space="preserve">Formación</w:t>
            </w:r>
          </w:p>
        </w:tc>
        <w:tc>
          <w:tcPr/>
          <w:p>
            <w:pPr>
              <w:pStyle w:val="Compact"/>
              <w:jc w:val="left"/>
            </w:pPr>
            <w:r>
              <w:t xml:space="preserve">Experiencia</w:t>
            </w:r>
          </w:p>
        </w:tc>
        <w:tc>
          <w:tcPr/>
          <w:p>
            <w:pPr>
              <w:pStyle w:val="Compact"/>
              <w:jc w:val="left"/>
            </w:pPr>
            <w:r>
              <w:t xml:space="preserve">Responsabilidad</w:t>
            </w:r>
          </w:p>
        </w:tc>
      </w:tr>
      <w:tr>
        <w:tc>
          <w:tcPr/>
          <w:p>
            <w:pPr>
              <w:pStyle w:val="Compact"/>
              <w:jc w:val="left"/>
            </w:pPr>
            <w:r>
              <w:t xml:space="preserve">Arquitecto SOA</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ocho (8) años en ejercicio de su profesión.</w:t>
            </w:r>
          </w:p>
        </w:tc>
        <w:tc>
          <w:tcPr/>
          <w:p>
            <w:pPr>
              <w:pStyle w:val="Compact"/>
              <w:jc w:val="left"/>
            </w:pPr>
            <w:r>
              <w:t xml:space="preserve">Es responsable de vigilar las decisiones técnicas de la arquitectura de referencia del FNA y observar las especificaciones tecnológicas que usarán los equipos de desarrollo internas y externas, fábricas, y proveedores que implementan las herramientas, servicios, componentes y soluciones de software del Fondo.</w:t>
            </w:r>
          </w:p>
        </w:tc>
      </w:tr>
      <w:tr>
        <w:tc>
          <w:tcPr/>
          <w:p>
            <w:pPr>
              <w:pStyle w:val="Compact"/>
              <w:jc w:val="left"/>
            </w:pPr>
            <w:r>
              <w:t xml:space="preserve">Arquitecto TI</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infraestructura de tecnología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y montaje de la infraestructura de la arquitectura de referencia del FNA y observar las especificaciones técnicas que usarán los equipos de desarrollado, fábricas, proveedores, para implementar las herramientas, servicios, componentes y soluciones de software del Fondo</w:t>
            </w:r>
          </w:p>
        </w:tc>
      </w:tr>
      <w:tr>
        <w:tc>
          <w:tcPr/>
          <w:p>
            <w:pPr>
              <w:pStyle w:val="Compact"/>
              <w:jc w:val="left"/>
            </w:pPr>
            <w:r>
              <w:t xml:space="preserve">Arquitecto de Aplicaciones</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técnicas de los componentes y aplicaciones constituyentes de la arquitectura de referencia del FNA y observar las especificaciones de reutilización, seguridad y construcción de los componentes que usarán los equipos de desarrollado, fábricas, proveedores, para implementar las herramientas, servicios, componentes y soluciones de software del Fondo</w:t>
            </w:r>
          </w:p>
        </w:tc>
      </w:tr>
      <w:tr>
        <w:tc>
          <w:tcPr/>
          <w:p>
            <w:pPr>
              <w:pStyle w:val="Compact"/>
              <w:jc w:val="left"/>
            </w:pPr>
            <w:r>
              <w:t xml:space="preserve">Arquitecto de Información</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uso y explotación de datos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de los conceptos y entidades de datos de la arquitectura de referencia del FNA y observar las especificaciones de estructuración y distribución de los productos de datos que usarán los equipos de desarrollado, fábricas, proveedores, para implementar las herramientas, servicios, componentes y soluciones de software del Fondo</w:t>
            </w:r>
          </w:p>
        </w:tc>
      </w:tr>
    </w:tbl>
    <w:p>
      <w:pPr>
        <w:pStyle w:val="Textoindependiente"/>
      </w:pPr>
      <w:r>
        <w:t xml:space="preserve">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Textoindependiente"/>
      </w:pPr>
    </w:p>
    <w:bookmarkEnd w:id="30"/>
    <w:bookmarkStart w:id="34"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2" name="Picture"/>
            <a:graphic>
              <a:graphicData uri="http://schemas.openxmlformats.org/drawingml/2006/picture">
                <pic:pic>
                  <pic:nvPicPr>
                    <pic:cNvPr descr="images/proceso-gob.png" id="33" name="Picture"/>
                    <pic:cNvPicPr>
                      <a:picLocks noChangeArrowheads="1" noChangeAspect="1"/>
                    </pic:cNvPicPr>
                  </pic:nvPicPr>
                  <pic:blipFill>
                    <a:blip r:embed="rId31"/>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4"/>
    <w:bookmarkStart w:id="35" w:name="gestión-del-cambio-e-impacto-incepción"/>
    <w:p>
      <w:pPr>
        <w:pStyle w:val="Ttulo3"/>
      </w:pPr>
      <w:r>
        <w:t xml:space="preserve">1. 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40"/>
        <w:gridCol w:w="4680"/>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2023-04-25T23:48:29Z</dcterms:created>
  <dcterms:modified xsi:type="dcterms:W3CDTF">2023-04-25T23:48:29Z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