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nexos"/>
    <w:p>
      <w:pPr>
        <w:pStyle w:val="Ttulo2"/>
      </w:pPr>
      <w:r>
        <w:t xml:space="preserve">Anexos</w:t>
      </w:r>
    </w:p>
    <w:bookmarkEnd w:id="20"/>
    <w:bookmarkStart w:id="22" w:name="procedimiento-del-área-ti-del-fna"/>
    <w:p>
      <w:pPr>
        <w:pStyle w:val="Ttulo2"/>
      </w:pPr>
      <w:r>
        <w:t xml:space="preserve">1. Procedimiento del Área TI del FNA</w:t>
      </w:r>
    </w:p>
    <w:p>
      <w:pPr>
        <w:pStyle w:val="FirstParagraph"/>
      </w:pPr>
      <w:r>
        <w:t xml:space="preserve">Anexo en línea.</w:t>
      </w:r>
      <w:r>
        <w:t xml:space="preserve"> </w:t>
      </w:r>
      <w:hyperlink r:id="rId21">
        <w:r>
          <w:rPr>
            <w:rStyle w:val="Hipervnculo"/>
          </w:rPr>
          <w:t xml:space="preserve">Procedimientos TI del Fondo</w:t>
        </w:r>
      </w:hyperlink>
      <w:r>
        <w:t xml:space="preserve">.</w:t>
      </w:r>
    </w:p>
    <w:p>
      <w:pPr>
        <w:pStyle w:val="Textoindependiente"/>
      </w:pPr>
      <w:r>
        <w:t xml:space="preserve">Fuente:</w:t>
      </w:r>
      <w:r>
        <w:t xml:space="preserve"> </w:t>
      </w:r>
      <w:r>
        <w:rPr>
          <w:iCs/>
          <w:i/>
        </w:rPr>
        <w:t xml:space="preserve">Fondo Nacional del Ahorro</w:t>
      </w:r>
      <w:r>
        <w:t xml:space="preserve">.</w:t>
      </w:r>
    </w:p>
    <w:p>
      <w:pPr>
        <w:pStyle w:val="Textoindependiente"/>
      </w:pPr>
    </w:p>
    <w:bookmarkEnd w:id="22"/>
    <w:bookmarkStart w:id="23" w:name="niveles-de-inversión-ti-del-fna"/>
    <w:p>
      <w:pPr>
        <w:pStyle w:val="Ttulo2"/>
      </w:pPr>
      <w:r>
        <w:t xml:space="preserve">2. Niveles de Inversión TI del FNA</w:t>
      </w:r>
    </w:p>
    <w:tbl>
      <w:tblPr>
        <w:tblStyle w:val="Table"/>
        <w:tblW w:type="pct" w:w="5000"/>
        <w:tblLook w:firstRow="1" w:lastRow="0" w:firstColumn="0" w:lastColumn="0" w:noHBand="0" w:noVBand="0" w:val="0020"/>
      </w:tblPr>
      <w:tblGrid>
        <w:gridCol w:w="1087"/>
        <w:gridCol w:w="435"/>
        <w:gridCol w:w="6396"/>
      </w:tblGrid>
      <w:tr>
        <w:trPr>
          <w:tblHeader w:val="true"/>
        </w:trPr>
        <w:tc>
          <w:tcPr/>
          <w:p>
            <w:pPr>
              <w:pStyle w:val="Compact"/>
              <w:jc w:val="left"/>
            </w:pPr>
            <w:r>
              <w:t xml:space="preserve">Rubro</w:t>
            </w:r>
          </w:p>
        </w:tc>
        <w:tc>
          <w:tcPr/>
          <w:p>
            <w:pPr>
              <w:pStyle w:val="Compact"/>
              <w:jc w:val="center"/>
            </w:pPr>
            <w:r>
              <w:t xml:space="preserve">Nivel / Procentaje</w:t>
            </w:r>
          </w:p>
        </w:tc>
        <w:tc>
          <w:tcPr/>
          <w:p>
            <w:pPr>
              <w:pStyle w:val="Compact"/>
              <w:jc w:val="left"/>
            </w:pPr>
            <w:r>
              <w:t xml:space="preserve">Destino</w:t>
            </w:r>
          </w:p>
        </w:tc>
      </w:tr>
      <w:tr>
        <w:tc>
          <w:tcPr/>
          <w:p>
            <w:pPr>
              <w:pStyle w:val="Compact"/>
              <w:jc w:val="left"/>
            </w:pPr>
            <w:r>
              <w:t xml:space="preserve">Equipos / Infraestructura técnica/arrendamientos</w:t>
            </w:r>
          </w:p>
        </w:tc>
        <w:tc>
          <w:tcPr/>
          <w:p>
            <w:pPr>
              <w:pStyle w:val="Compact"/>
              <w:jc w:val="center"/>
            </w:pPr>
            <w:r>
              <w:t xml:space="preserve">30%</w:t>
            </w:r>
          </w:p>
        </w:tc>
        <w:tc>
          <w:tcPr/>
          <w:p>
            <w:pPr>
              <w:pStyle w:val="Compact"/>
              <w:jc w:val="left"/>
            </w:pPr>
            <w:r>
              <w:t xml:space="preserve">Hardware IBM, hosting/nube sap, equipos ofimaticos, impresoras, facilites, red wan, red lan, cintas medios magneticos, grabacion de llamadas, kioskos, planta electricas, bolsa monitores, canales y buckup, inversiones (balanceadores, swithes)</w:t>
            </w:r>
          </w:p>
        </w:tc>
      </w:tr>
      <w:tr>
        <w:tc>
          <w:tcPr/>
          <w:p>
            <w:pPr>
              <w:pStyle w:val="Compact"/>
              <w:jc w:val="left"/>
            </w:pPr>
            <w:r>
              <w:t xml:space="preserve">Servicios externos</w:t>
            </w:r>
          </w:p>
        </w:tc>
        <w:tc>
          <w:tcPr/>
          <w:p>
            <w:pPr>
              <w:pStyle w:val="Compact"/>
              <w:jc w:val="center"/>
            </w:pPr>
            <w:r>
              <w:t xml:space="preserve">26%</w:t>
            </w:r>
          </w:p>
        </w:tc>
        <w:tc>
          <w:tcPr/>
          <w:p>
            <w:pPr>
              <w:pStyle w:val="Compact"/>
              <w:jc w:val="left"/>
            </w:pPr>
            <w:r>
              <w:t xml:space="preserve">Fábricas, boton de pagos, biometria, mesa de servicios, certificados digitales, admon bda, admon soa, admon itom, 2FA, Cape, Soc, platafomas a las ventas, custodia de medios, validacion de identidad, factura electronica</w:t>
            </w:r>
          </w:p>
        </w:tc>
      </w:tr>
      <w:tr>
        <w:tc>
          <w:tcPr/>
          <w:p>
            <w:pPr>
              <w:pStyle w:val="Compact"/>
              <w:jc w:val="left"/>
            </w:pPr>
            <w:r>
              <w:t xml:space="preserve">Productos</w:t>
            </w:r>
          </w:p>
        </w:tc>
        <w:tc>
          <w:tcPr/>
          <w:p>
            <w:pPr>
              <w:pStyle w:val="Compact"/>
              <w:jc w:val="center"/>
            </w:pPr>
            <w:r>
              <w:t xml:space="preserve">23%</w:t>
            </w:r>
          </w:p>
        </w:tc>
        <w:tc>
          <w:tcPr/>
          <w:p>
            <w:pPr>
              <w:pStyle w:val="Compact"/>
              <w:jc w:val="left"/>
            </w:pPr>
            <w:r>
              <w:t xml:space="preserve">CRM, Adminfo, Cobis, SAP -ERP, Workmanger, RPA, Credito constuctor</w:t>
            </w:r>
          </w:p>
        </w:tc>
      </w:tr>
      <w:tr>
        <w:tc>
          <w:tcPr/>
          <w:p>
            <w:pPr>
              <w:pStyle w:val="Compact"/>
              <w:jc w:val="left"/>
            </w:pPr>
            <w:r>
              <w:t xml:space="preserve">Mantenimiento Licencias/suscripcion</w:t>
            </w:r>
          </w:p>
        </w:tc>
        <w:tc>
          <w:tcPr/>
          <w:p>
            <w:pPr>
              <w:pStyle w:val="Compact"/>
              <w:jc w:val="center"/>
            </w:pPr>
            <w:r>
              <w:t xml:space="preserve">19%</w:t>
            </w:r>
          </w:p>
        </w:tc>
        <w:tc>
          <w:tcPr/>
          <w:p>
            <w:pPr>
              <w:pStyle w:val="Compact"/>
              <w:jc w:val="left"/>
            </w:pPr>
            <w:r>
              <w:t xml:space="preserve">Software IBM, Oracle, Cisco, itom, elearning, kactus, isolucion, microsoft, motores bases de datos, megahopex, adobe cloud, Vmware, red hat, sistema de turnos, bizagi, DLP, logica, ciberseguridad, herramientas ciberdefensa, qualitty, pam, antimalware, goanywere, Microfocus fortify - idm, dam</w:t>
            </w:r>
          </w:p>
        </w:tc>
      </w:tr>
      <w:tr>
        <w:tc>
          <w:tcPr/>
          <w:p>
            <w:pPr>
              <w:pStyle w:val="Compact"/>
              <w:jc w:val="left"/>
            </w:pPr>
            <w:r>
              <w:t xml:space="preserve">Soporte/admon de softw.</w:t>
            </w:r>
          </w:p>
        </w:tc>
        <w:tc>
          <w:tcPr/>
          <w:p>
            <w:pPr>
              <w:pStyle w:val="Compact"/>
              <w:jc w:val="center"/>
            </w:pPr>
            <w:r>
              <w:t xml:space="preserve">2%</w:t>
            </w:r>
          </w:p>
        </w:tc>
        <w:tc>
          <w:tcPr/>
          <w:p>
            <w:pPr>
              <w:pStyle w:val="Compact"/>
              <w:jc w:val="left"/>
            </w:pPr>
            <w:r>
              <w:t xml:space="preserve">DLP, herramientas ciberdefensa, qualitty, pam, antimalware, goanywere, Microofus fortify - idms, dam, elearning, kactus, isolucion, servicios cartelera digital</w:t>
            </w:r>
          </w:p>
        </w:tc>
      </w:tr>
    </w:tbl>
    <w:p>
      <w:pPr>
        <w:pStyle w:val="Textoindependiente"/>
      </w:pPr>
      <w:r>
        <w:t xml:space="preserve">Fuente:</w:t>
      </w:r>
      <w:r>
        <w:t xml:space="preserve"> </w:t>
      </w:r>
      <w:r>
        <w:rPr>
          <w:iCs/>
          <w:i/>
        </w:rPr>
        <w:t xml:space="preserve">Fondo Nacional del Ahorro</w:t>
      </w:r>
      <w:r>
        <w:t xml:space="preserve">.</w:t>
      </w:r>
    </w:p>
    <w:p>
      <w:r>
        <w:pict>
          <v:rect style="width:0;height:1.5pt" o:hralign="center" o:hrstd="t" o:hr="t"/>
        </w:pic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2023-04-25T23:41:44Z</dcterms:created>
  <dcterms:modified xsi:type="dcterms:W3CDTF">2023-04-25T23:41:44Z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