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22"/>
    <w:bookmarkStart w:id="23" w:name="contenidos"/>
    <w:p>
      <w:pPr>
        <w:pStyle w:val="Ttulo2"/>
      </w:pPr>
      <w:r>
        <w:t xml:space="preserve">Contenidos</w:t>
      </w:r>
    </w:p>
    <w:p>
      <w:pPr>
        <w:numPr>
          <w:ilvl w:val="0"/>
          <w:numId w:val="1001"/>
        </w:numPr>
        <w:pStyle w:val="Compact"/>
      </w:pPr>
      <w:r>
        <w:t xml:space="preserve">Arquitectura de referencia SOA FNA, versión 2.0</w:t>
      </w:r>
    </w:p>
    <w:p>
      <w:pPr>
        <w:numPr>
          <w:ilvl w:val="0"/>
          <w:numId w:val="1001"/>
        </w:numPr>
        <w:pStyle w:val="Compact"/>
      </w:pPr>
      <w:r>
        <w:t xml:space="preserve">Consideraciones para gobierno y adaptabilidad de la arquitectura 2.0</w:t>
      </w:r>
    </w:p>
    <w:p>
      <w:pPr>
        <w:numPr>
          <w:ilvl w:val="0"/>
          <w:numId w:val="1001"/>
        </w:numPr>
        <w:pStyle w:val="Compact"/>
      </w:pPr>
      <w:r>
        <w:t xml:space="preserve">Administración de requerimientos de arquitectura para evolución y mantenimiento</w:t>
      </w:r>
    </w:p>
    <w:p>
      <w:pPr>
        <w:numPr>
          <w:ilvl w:val="0"/>
          <w:numId w:val="1001"/>
        </w:numPr>
        <w:pStyle w:val="Compact"/>
      </w:pPr>
      <w:r>
        <w:t xml:space="preserve">Procedimientos de evaluación de la arquitectura candidata FNA (req. no funcionales)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Arquitectura de referencia SOA FNA, versión 2.0</w:t>
      </w:r>
    </w:p>
    <w:p>
      <w:pPr>
        <w:numPr>
          <w:ilvl w:val="0"/>
          <w:numId w:val="1002"/>
        </w:numPr>
        <w:pStyle w:val="Compact"/>
      </w:pPr>
      <w:r>
        <w:t xml:space="preserve">Articulación con gobierno SOA del FNA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2023-04-25T23:48:36Z</dcterms:created>
  <dcterms:modified xsi:type="dcterms:W3CDTF">2023-04-25T23:48:36Z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