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2-soa-objetivo"/>
    <w:p>
      <w:pPr>
        <w:pStyle w:val="Ttulo1"/>
      </w:pPr>
      <w:r>
        <w:t xml:space="preserve">Fase 2: SOA Objetivo</w:t>
      </w:r>
    </w:p>
    <w:bookmarkEnd w:id="20"/>
    <w:bookmarkStart w:id="21" w:name="Xde28353806a99316a61e306cd812fd556109b6d"/>
    <w:p>
      <w:pPr>
        <w:pStyle w:val="Ttulo1"/>
      </w:pPr>
      <w:r>
        <w:t xml:space="preserve">Contenido de los Productos Contractuales, 181-2020</w:t>
      </w:r>
    </w:p>
    <w:bookmarkEnd w:id="21"/>
    <w:bookmarkStart w:id="25" w:name="X0dc56c52bdd8365466f1cbc9f3642012704f0af"/>
    <w:p>
      <w:pPr>
        <w:pStyle w:val="Ttulo1"/>
      </w:pPr>
      <w:r>
        <w:t xml:space="preserve">Producto 8: PR8. Arquitectura SOA Candidata para FNA</w:t>
      </w:r>
    </w:p>
    <w:p>
      <w:pPr>
        <w:pStyle w:val="FirstParagraph"/>
      </w:pPr>
      <w:r>
        <w:t xml:space="preserve">La arquitectura SOA candidata para el FNA es la continuación de la referencia SOA desarrollada en la Fase 1 del presente diagnóstico. Esta nueva edición de la arquitectura es la base para planear el fortalecimiento SOA y de las capacidades de negocio del segmento de la empresa FNA. La arquitectura candidata recoge principalmente los análisis previos de situación actual SOA del Fondo, análisis de madurez SOA, el análisis de vigilancia tecnológica y estilos SOA, y el de la comparativa con el sector de la industria.</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22" w:name="justificación"/>
    <w:p>
      <w:pPr>
        <w:pStyle w:val="Ttulo2"/>
      </w:pPr>
      <w:r>
        <w:t xml:space="preserve">Justificación</w:t>
      </w:r>
    </w:p>
    <w:p>
      <w:pPr>
        <w:pStyle w:val="FirstParagraph"/>
      </w:pPr>
      <w:r>
        <w:t xml:space="preserve">La arquitectura SOA candidata del FNA sirve de base para la planeación de cambios de cierre de brecha de la situación actual SOA del Fondo (ver Fase 1).</w:t>
      </w:r>
    </w:p>
    <w:bookmarkEnd w:id="22"/>
    <w:bookmarkStart w:id="23" w:name="contenidos"/>
    <w:p>
      <w:pPr>
        <w:pStyle w:val="Ttulo2"/>
      </w:pPr>
      <w:r>
        <w:t xml:space="preserve">Contenidos</w:t>
      </w:r>
    </w:p>
    <w:p>
      <w:pPr>
        <w:numPr>
          <w:ilvl w:val="0"/>
          <w:numId w:val="1001"/>
        </w:numPr>
        <w:pStyle w:val="Compact"/>
      </w:pPr>
      <w:r>
        <w:t xml:space="preserve">Arquitectura de referencia SOA FNA, versión 2.0</w:t>
      </w:r>
    </w:p>
    <w:p>
      <w:pPr>
        <w:numPr>
          <w:ilvl w:val="0"/>
          <w:numId w:val="1001"/>
        </w:numPr>
        <w:pStyle w:val="Compact"/>
      </w:pPr>
      <w:r>
        <w:t xml:space="preserve">Consideraciones para gobierno y adaptabilidad de la arquitectura 2.0</w:t>
      </w:r>
    </w:p>
    <w:p>
      <w:pPr>
        <w:numPr>
          <w:ilvl w:val="0"/>
          <w:numId w:val="1001"/>
        </w:numPr>
        <w:pStyle w:val="Compact"/>
      </w:pPr>
      <w:r>
        <w:t xml:space="preserve">Administración de requerimientos de arquitectura para evolución y mantenimiento</w:t>
      </w:r>
    </w:p>
    <w:p>
      <w:pPr>
        <w:numPr>
          <w:ilvl w:val="0"/>
          <w:numId w:val="1001"/>
        </w:numPr>
        <w:pStyle w:val="Compact"/>
      </w:pPr>
      <w:r>
        <w:t xml:space="preserve">Procedimientos de evaluación de la arquitectura candidata FNA (req. no funcionales)</w:t>
      </w:r>
    </w:p>
    <w:p>
      <w:pPr>
        <w:pStyle w:val="FirstParagraph"/>
      </w:pPr>
    </w:p>
    <w:bookmarkEnd w:id="23"/>
    <w:bookmarkStart w:id="24" w:name="criterios-de-aceptación"/>
    <w:p>
      <w:pPr>
        <w:pStyle w:val="Ttulo2"/>
      </w:pPr>
      <w:r>
        <w:t xml:space="preserve">Criterios de Aceptación</w:t>
      </w:r>
    </w:p>
    <w:p>
      <w:pPr>
        <w:numPr>
          <w:ilvl w:val="0"/>
          <w:numId w:val="1002"/>
        </w:numPr>
        <w:pStyle w:val="Compact"/>
      </w:pPr>
      <w:r>
        <w:t xml:space="preserve">Arquitectura de referencia SOA FNA, versión 2.0</w:t>
      </w:r>
    </w:p>
    <w:p>
      <w:pPr>
        <w:numPr>
          <w:ilvl w:val="0"/>
          <w:numId w:val="1002"/>
        </w:numPr>
        <w:pStyle w:val="Compact"/>
      </w:pPr>
      <w:r>
        <w:t xml:space="preserve">Articulación con gobierno SOA del FNA</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2023-01-15T18:44:03Z</dcterms:created>
  <dcterms:modified xsi:type="dcterms:W3CDTF">2023-01-15T18:44:03Z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