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ef0c091f777f60025851df6142a75026dcb21f2"/>
    <w:p>
      <w:pPr>
        <w:pStyle w:val="Ttulo1"/>
      </w:pPr>
      <w:r>
        <w:t xml:space="preserve">Producto 8: PR8a. Portafolio de Inciativas y Brechas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 candidata para el segmento FNA (vista de segmento)</w:t>
      </w:r>
    </w:p>
    <w:p>
      <w:pPr>
        <w:numPr>
          <w:ilvl w:val="0"/>
          <w:numId w:val="1001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1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Ficha descriptiva de iniciativas de mejora para el segmento FNA (justificación)</w:t>
      </w:r>
    </w:p>
    <w:p>
      <w:pPr>
        <w:numPr>
          <w:ilvl w:val="0"/>
          <w:numId w:val="1001"/>
        </w:numPr>
        <w:pStyle w:val="Compact"/>
      </w:pPr>
      <w:r>
        <w:t xml:space="preserve">Hoja de ruta preliminar hacia un objetivo de mejora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2023-02-06T01:28:24Z</dcterms:created>
  <dcterms:modified xsi:type="dcterms:W3CDTF">2023-02-06T01:28:24Z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