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6.png" ContentType="image/png"/>
  <Override PartName="/word/media/rId83.png" ContentType="image/png"/>
  <Override PartName="/word/media/rId77.png" ContentType="image/png"/>
  <Override PartName="/word/media/rId72.png" ContentType="image/png"/>
  <Override PartName="/word/media/rId67.png" ContentType="image/png"/>
  <Override PartName="/word/media/rId94.gif" ContentType="image/gif"/>
  <Override PartName="/word/media/rId107.png" ContentType="image/png"/>
  <Override PartName="/word/media/rId90.png" ContentType="image/png"/>
  <Override PartName="/word/media/rId116.png" ContentType="image/png"/>
  <Override PartName="/word/media/rId80.png" ContentType="image/png"/>
  <Override PartName="/word/media/rId103.png" ContentType="image/png"/>
  <Override PartName="/word/media/rId112.png" ContentType="image/png"/>
  <Override PartName="/word/media/rId120.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hyperlink r:id="rId21">
        <w:r>
          <w:rPr>
            <w:rStyle w:val="Hipervnculo"/>
          </w:rPr>
          <w:t xml:space="preserve">19c9d01</w:t>
        </w:r>
      </w:hyperlink>
      <w:r>
        <w:t xml:space="preserve"> </w:t>
      </w:r>
      <w:r>
        <w:t xml:space="preserve">on January 31, 2023.</w:t>
      </w:r>
    </w:p>
    <w:bookmarkStart w:id="25" w:name="grupo-e-service"/>
    <w:p>
      <w:pPr>
        <w:pStyle w:val="Ttulo2"/>
      </w:pPr>
      <w:r>
        <w:t xml:space="preserve">Grupo E-Service</w:t>
      </w:r>
    </w:p>
    <w:p>
      <w:pPr>
        <w:numPr>
          <w:ilvl w:val="0"/>
          <w:numId w:val="1001"/>
        </w:numPr>
      </w:pPr>
      <w:r>
        <w:rPr>
          <w:bCs/>
          <w:b/>
        </w:rPr>
        <w:t xml:space="preserve">Harry Wong</w:t>
      </w:r>
      <w:r>
        <w:t xml:space="preserve"> </w:t>
      </w:r>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w:t>
      </w:r>
      <w:r>
        <w:t xml:space="preserve"> </w:t>
      </w:r>
      <w:r>
        <w:t xml:space="preserve">Twitter icon</w:t>
      </w:r>
      <w:r>
        <w:t xml:space="preserve"> </w:t>
      </w:r>
      <w:hyperlink r:id="rId24">
        <w:r>
          <w:rPr>
            <w:rStyle w:val="Hipervnculo"/>
          </w:rPr>
          <w:t xml:space="preserve">johndoe</w:t>
        </w:r>
      </w:hyperlink>
      <w:r>
        <w:t xml:space="preserve"> </w:t>
      </w:r>
      <w:r>
        <w:t xml:space="preserve"> </w:t>
      </w:r>
      <w:r>
        <w:t xml:space="preserve"> </w:t>
      </w:r>
      <w:r>
        <w:t xml:space="preserve">Department of Something, University of Whatever</w:t>
      </w:r>
      <w:r>
        <w:t xml:space="preserve"> </w:t>
      </w:r>
      <w:r>
        <w:t xml:space="preserve">· Funded by Grant XXXXXXXX</w:t>
      </w:r>
      <w:r>
        <w:t xml:space="preserve"> </w:t>
      </w:r>
    </w:p>
    <w:p>
      <w:pPr>
        <w:numPr>
          <w:ilvl w:val="0"/>
          <w:numId w:val="1001"/>
        </w:numPr>
      </w:pPr>
      <w:r>
        <w:rPr>
          <w:bCs/>
          <w:b/>
        </w:rPr>
        <w:t xml:space="preserve">Stefanini.com</w:t>
      </w:r>
      <w:r>
        <w:t xml:space="preserve"> </w:t>
      </w:r>
      <w:hyperlink w:anchor="correspondence">
        <w:r>
          <w:rPr>
            <w:rStyle w:val="Hipervnculo"/>
            <w:vertAlign w:val="superscript"/>
          </w:rPr>
          <w:t xml:space="preserve">✉</w:t>
        </w:r>
      </w:hyperlink>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 </w:t>
      </w:r>
      <w:r>
        <w:t xml:space="preserve"> </w:t>
      </w:r>
      <w:r>
        <w:t xml:space="preserve">Department of Something, University of Whatever; Department of Whatever, University of Something</w:t>
      </w:r>
      <w:r>
        <w:t xml:space="preserve"> </w:t>
      </w:r>
    </w:p>
    <w:p>
      <w:r>
        <w:pict>
          <v:rect style="width:0;height:1.5pt" o:hralign="center" o:hrstd="t" o:hr="t"/>
        </w:pict>
      </w:r>
    </w:p>
    <w:bookmarkEnd w:id="25"/>
    <w:bookmarkStart w:id="26" w:name="fase-2-soa-objetivo-fna"/>
    <w:p>
      <w:pPr>
        <w:pStyle w:val="Ttulo1"/>
      </w:pPr>
      <w:r>
        <w:t xml:space="preserve">Fase 2: SOA Objetivo FNA</w:t>
      </w:r>
    </w:p>
    <w:bookmarkEnd w:id="26"/>
    <w:bookmarkStart w:id="27" w:name="Xde28353806a99316a61e306cd812fd556109b6d"/>
    <w:p>
      <w:pPr>
        <w:pStyle w:val="Ttulo1"/>
      </w:pPr>
      <w:r>
        <w:t xml:space="preserve">Contenido de los Productos Contractuales, 181-2020</w:t>
      </w:r>
    </w:p>
    <w:p>
      <w:pPr>
        <w:pStyle w:val="FirstParagraph"/>
      </w:pPr>
    </w:p>
    <w:bookmarkEnd w:id="27"/>
    <w:bookmarkStart w:id="32"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8"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8"/>
    <w:bookmarkStart w:id="29" w:name="contenidos"/>
    <w:p>
      <w:pPr>
        <w:pStyle w:val="Ttulo2"/>
      </w:pPr>
      <w:r>
        <w:t xml:space="preserve">Contenidos</w:t>
      </w:r>
    </w:p>
    <w:p>
      <w:pPr>
        <w:numPr>
          <w:ilvl w:val="0"/>
          <w:numId w:val="1002"/>
        </w:numPr>
        <w:pStyle w:val="Compact"/>
      </w:pPr>
      <w:r>
        <w:t xml:space="preserve">Arquitectura SOA</w:t>
      </w:r>
    </w:p>
    <w:p>
      <w:pPr>
        <w:numPr>
          <w:ilvl w:val="0"/>
          <w:numId w:val="1002"/>
        </w:numPr>
        <w:pStyle w:val="Compact"/>
      </w:pPr>
      <w:r>
        <w:t xml:space="preserve">Portafolio de servicios</w:t>
      </w:r>
    </w:p>
    <w:p>
      <w:pPr>
        <w:numPr>
          <w:ilvl w:val="0"/>
          <w:numId w:val="1002"/>
        </w:numPr>
        <w:pStyle w:val="Compact"/>
      </w:pPr>
      <w:r>
        <w:t xml:space="preserve">Gobierno SOA</w:t>
      </w:r>
    </w:p>
    <w:p>
      <w:pPr>
        <w:numPr>
          <w:ilvl w:val="0"/>
          <w:numId w:val="1002"/>
        </w:numPr>
        <w:pStyle w:val="Compact"/>
      </w:pPr>
      <w:r>
        <w:t xml:space="preserve">Versionamiento de servicios</w:t>
      </w:r>
    </w:p>
    <w:p>
      <w:pPr>
        <w:numPr>
          <w:ilvl w:val="0"/>
          <w:numId w:val="1002"/>
        </w:numPr>
        <w:pStyle w:val="Compact"/>
      </w:pPr>
      <w:r>
        <w:t xml:space="preserve">Monitoreo y operación SOA</w:t>
      </w:r>
    </w:p>
    <w:p>
      <w:pPr>
        <w:numPr>
          <w:ilvl w:val="0"/>
          <w:numId w:val="1002"/>
        </w:numPr>
        <w:pStyle w:val="Compact"/>
      </w:pPr>
      <w:r>
        <w:t xml:space="preserve">Mantenimiento y evolución de servicios</w:t>
      </w:r>
    </w:p>
    <w:p>
      <w:pPr>
        <w:numPr>
          <w:ilvl w:val="0"/>
          <w:numId w:val="1002"/>
        </w:numPr>
        <w:pStyle w:val="Compact"/>
      </w:pPr>
      <w:r>
        <w:t xml:space="preserve">Nuevas tecnologías</w:t>
      </w:r>
    </w:p>
    <w:p>
      <w:pPr>
        <w:pStyle w:val="FirstParagraph"/>
      </w:pPr>
    </w:p>
    <w:bookmarkEnd w:id="29"/>
    <w:bookmarkStart w:id="31" w:name="criterios-de-aceptación"/>
    <w:p>
      <w:pPr>
        <w:pStyle w:val="Ttulo2"/>
      </w:pPr>
      <w:r>
        <w:t xml:space="preserve">Criterios de Aceptación</w:t>
      </w:r>
    </w:p>
    <w:p>
      <w:pPr>
        <w:numPr>
          <w:ilvl w:val="0"/>
          <w:numId w:val="1003"/>
        </w:numPr>
        <w:pStyle w:val="Compact"/>
      </w:pPr>
      <w:r>
        <w:t xml:space="preserve">Lista de oportunidades e iniciativas ralizables por el FNA</w:t>
      </w:r>
    </w:p>
    <w:p>
      <w:pPr>
        <w:numPr>
          <w:ilvl w:val="0"/>
          <w:numId w:val="1003"/>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19c9d01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31"/>
    <w:bookmarkEnd w:id="32"/>
    <w:bookmarkStart w:id="61"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4"/>
        </w:numPr>
        <w:pStyle w:val="Compact"/>
      </w:pPr>
      <w:r>
        <w:t xml:space="preserve">Arquitectura SOA</w:t>
      </w:r>
    </w:p>
    <w:p>
      <w:pPr>
        <w:numPr>
          <w:ilvl w:val="0"/>
          <w:numId w:val="1004"/>
        </w:numPr>
        <w:pStyle w:val="Compact"/>
      </w:pPr>
      <w:r>
        <w:t xml:space="preserve">Portafolio de Servicios</w:t>
      </w:r>
    </w:p>
    <w:p>
      <w:pPr>
        <w:numPr>
          <w:ilvl w:val="0"/>
          <w:numId w:val="1004"/>
        </w:numPr>
        <w:pStyle w:val="Compact"/>
      </w:pPr>
      <w:r>
        <w:t xml:space="preserve">Gobierno SOA</w:t>
      </w:r>
    </w:p>
    <w:p>
      <w:pPr>
        <w:numPr>
          <w:ilvl w:val="0"/>
          <w:numId w:val="1004"/>
        </w:numPr>
        <w:pStyle w:val="Compact"/>
      </w:pPr>
      <w:r>
        <w:t xml:space="preserve">Estrategia de Versionamiento</w:t>
      </w:r>
    </w:p>
    <w:p>
      <w:pPr>
        <w:numPr>
          <w:ilvl w:val="0"/>
          <w:numId w:val="1004"/>
        </w:numPr>
        <w:pStyle w:val="Compact"/>
      </w:pPr>
      <w:r>
        <w:t xml:space="preserve">Monitoreo y Operación</w:t>
      </w:r>
    </w:p>
    <w:p>
      <w:pPr>
        <w:numPr>
          <w:ilvl w:val="0"/>
          <w:numId w:val="1004"/>
        </w:numPr>
        <w:pStyle w:val="Compact"/>
      </w:pPr>
      <w:r>
        <w:t xml:space="preserve">Mantenimiento y Evolución</w:t>
      </w:r>
    </w:p>
    <w:p>
      <w:pPr>
        <w:numPr>
          <w:ilvl w:val="0"/>
          <w:numId w:val="1004"/>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6" w:name="arquitectura-soa"/>
    <w:p>
      <w:pPr>
        <w:pStyle w:val="Ttulo2"/>
      </w:pPr>
      <w:r>
        <w:t xml:space="preserve">Arquitectura SOA</w:t>
      </w:r>
    </w:p>
    <w:bookmarkStart w:id="33"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33"/>
    <w:bookmarkStart w:id="34"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34"/>
    <w:bookmarkStart w:id="35"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35"/>
    <w:bookmarkEnd w:id="36"/>
    <w:bookmarkStart w:id="40" w:name="portafolio-de-servicios"/>
    <w:p>
      <w:pPr>
        <w:pStyle w:val="Ttulo2"/>
      </w:pPr>
      <w:r>
        <w:t xml:space="preserve">Portafolio de Servicios</w:t>
      </w:r>
    </w:p>
    <w:bookmarkStart w:id="37"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7"/>
    <w:bookmarkStart w:id="38"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8"/>
    <w:bookmarkStart w:id="39"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9"/>
    <w:bookmarkEnd w:id="40"/>
    <w:bookmarkStart w:id="44" w:name="gobierno-soa"/>
    <w:p>
      <w:pPr>
        <w:pStyle w:val="Ttulo2"/>
      </w:pPr>
      <w:r>
        <w:t xml:space="preserve">Gobierno SOA</w:t>
      </w:r>
    </w:p>
    <w:bookmarkStart w:id="41"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41"/>
    <w:bookmarkStart w:id="42"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42"/>
    <w:bookmarkStart w:id="43"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43"/>
    <w:bookmarkEnd w:id="44"/>
    <w:bookmarkStart w:id="48" w:name="estrategia-de-versionamiento"/>
    <w:p>
      <w:pPr>
        <w:pStyle w:val="Ttulo2"/>
      </w:pPr>
      <w:r>
        <w:t xml:space="preserve">Estrategia de Versionamiento</w:t>
      </w:r>
    </w:p>
    <w:bookmarkStart w:id="45"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45"/>
    <w:bookmarkStart w:id="46"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6"/>
    <w:bookmarkStart w:id="47"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7"/>
    <w:bookmarkEnd w:id="48"/>
    <w:bookmarkStart w:id="52" w:name="monitoreo-y-operación"/>
    <w:p>
      <w:pPr>
        <w:pStyle w:val="Ttulo2"/>
      </w:pPr>
      <w:r>
        <w:t xml:space="preserve">Monitoreo y Operación</w:t>
      </w:r>
    </w:p>
    <w:bookmarkStart w:id="49"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9"/>
    <w:bookmarkStart w:id="50"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50"/>
    <w:bookmarkStart w:id="51"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51"/>
    <w:bookmarkEnd w:id="52"/>
    <w:bookmarkStart w:id="56" w:name="mantenimiento-y-evolución"/>
    <w:p>
      <w:pPr>
        <w:pStyle w:val="Ttulo2"/>
      </w:pPr>
      <w:r>
        <w:t xml:space="preserve">Mantenimiento y Evolución</w:t>
      </w:r>
    </w:p>
    <w:bookmarkStart w:id="53"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53"/>
    <w:bookmarkStart w:id="54"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54"/>
    <w:bookmarkStart w:id="55"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55"/>
    <w:bookmarkEnd w:id="56"/>
    <w:bookmarkStart w:id="60" w:name="nuevas-tecnologías"/>
    <w:p>
      <w:pPr>
        <w:pStyle w:val="Ttulo2"/>
      </w:pPr>
      <w:r>
        <w:t xml:space="preserve">Nuevas tecnologías</w:t>
      </w:r>
    </w:p>
    <w:bookmarkStart w:id="57"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7"/>
    <w:bookmarkStart w:id="58"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8"/>
    <w:bookmarkStart w:id="59"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9"/>
    <w:bookmarkEnd w:id="60"/>
    <w:bookmarkEnd w:id="61"/>
    <w:bookmarkStart w:id="62" w:name="fase-2-soa-objetivo-fna-1"/>
    <w:p>
      <w:pPr>
        <w:pStyle w:val="Ttulo1"/>
      </w:pPr>
      <w:r>
        <w:t xml:space="preserve">Fase 2: SOA Objetivo FNA</w:t>
      </w:r>
    </w:p>
    <w:bookmarkEnd w:id="62"/>
    <w:bookmarkStart w:id="63" w:name="X5c0c69e660e78a6abcb50f83e9ffaa519594cea"/>
    <w:p>
      <w:pPr>
        <w:pStyle w:val="Ttulo1"/>
      </w:pPr>
      <w:r>
        <w:t xml:space="preserve">Contenido de los Productos Contractuales, 181-2020</w:t>
      </w:r>
    </w:p>
    <w:bookmarkEnd w:id="63"/>
    <w:bookmarkStart w:id="127"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64"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64"/>
    <w:bookmarkStart w:id="65" w:name="contenidos-1"/>
    <w:p>
      <w:pPr>
        <w:pStyle w:val="Ttulo2"/>
      </w:pPr>
      <w:r>
        <w:t xml:space="preserve">Contenidos</w:t>
      </w:r>
    </w:p>
    <w:p>
      <w:pPr>
        <w:numPr>
          <w:ilvl w:val="0"/>
          <w:numId w:val="1005"/>
        </w:numPr>
        <w:pStyle w:val="Compact"/>
      </w:pPr>
      <w:r>
        <w:t xml:space="preserve">Definición de objetivos y capacidades del gobierno SOA</w:t>
      </w:r>
    </w:p>
    <w:p>
      <w:pPr>
        <w:numPr>
          <w:ilvl w:val="0"/>
          <w:numId w:val="1005"/>
        </w:numPr>
        <w:pStyle w:val="Compact"/>
      </w:pPr>
      <w:r>
        <w:t xml:space="preserve">Equilibrio arquitectura y procesos SOA</w:t>
      </w:r>
    </w:p>
    <w:p>
      <w:pPr>
        <w:numPr>
          <w:ilvl w:val="0"/>
          <w:numId w:val="1005"/>
        </w:numPr>
        <w:pStyle w:val="Compact"/>
      </w:pPr>
      <w:r>
        <w:t xml:space="preserve">Supervisión de efectividad y factibilidad SOA</w:t>
      </w:r>
    </w:p>
    <w:p>
      <w:pPr>
        <w:numPr>
          <w:ilvl w:val="0"/>
          <w:numId w:val="1005"/>
        </w:numPr>
        <w:pStyle w:val="Compact"/>
      </w:pPr>
      <w:r>
        <w:t xml:space="preserve">Mejora de los índices de efectividad (madurez) SOA</w:t>
      </w:r>
    </w:p>
    <w:p>
      <w:pPr>
        <w:numPr>
          <w:ilvl w:val="0"/>
          <w:numId w:val="1005"/>
        </w:numPr>
        <w:pStyle w:val="Compact"/>
      </w:pPr>
      <w:r>
        <w:t xml:space="preserve">Consideraciones para la puesta en marcha del gobierno SOA en el FNA</w:t>
      </w:r>
    </w:p>
    <w:p>
      <w:pPr>
        <w:pStyle w:val="FirstParagraph"/>
      </w:pPr>
    </w:p>
    <w:bookmarkEnd w:id="65"/>
    <w:bookmarkStart w:id="66" w:name="criterios-de-aceptación-1"/>
    <w:p>
      <w:pPr>
        <w:pStyle w:val="Ttulo2"/>
      </w:pPr>
      <w:r>
        <w:t xml:space="preserve">Criterios de Aceptación</w:t>
      </w:r>
    </w:p>
    <w:p>
      <w:pPr>
        <w:numPr>
          <w:ilvl w:val="0"/>
          <w:numId w:val="1006"/>
        </w:numPr>
        <w:pStyle w:val="Compact"/>
      </w:pPr>
      <w:r>
        <w:t xml:space="preserve">Objetivos y capacidades del gobierno SOA para el Fondo</w:t>
      </w:r>
    </w:p>
    <w:p>
      <w:pPr>
        <w:numPr>
          <w:ilvl w:val="0"/>
          <w:numId w:val="1006"/>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19c9d01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66"/>
    <w:bookmarkStart w:id="76" w:name="definición-de-objetivos-del-gobierno-soa"/>
    <w:p>
      <w:pPr>
        <w:pStyle w:val="Ttulo2"/>
      </w:pPr>
      <w:r>
        <w:t xml:space="preserve">Definición de objetivos del gobierno SOA</w:t>
      </w:r>
    </w:p>
    <w:p>
      <w:pPr>
        <w:pStyle w:val="FirstParagraph"/>
      </w:pPr>
      <w:r>
        <w:t xml:space="preserve">Dado los niveles de complejidad que el FNA ha alcanzado y por los riesgos tecnológico que contraen las partes analizadas en la Fase 1 de este diagnóstico (ver</w:t>
      </w:r>
      <w:r>
        <w:t xml:space="preserve"> </w:t>
      </w:r>
      <w:hyperlink r:id="rId30">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30">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30">
        <w:r>
          <w:rPr>
            <w:rStyle w:val="Hipervnculo"/>
          </w:rPr>
          <w:t xml:space="preserve">04b.Resumen Fase 1</w:t>
        </w:r>
      </w:hyperlink>
      <w:r>
        <w:t xml:space="preserve">).</w:t>
      </w:r>
    </w:p>
    <w:p>
      <w:pPr>
        <w:pStyle w:val="Textoindependiente"/>
      </w:pPr>
    </w:p>
    <w:bookmarkStart w:id="71" w:name="X282ab52329bc258ea6e6b7c6fb425c5efc1682d"/>
    <w:p>
      <w:pPr>
        <w:pStyle w:val="Ttulo3"/>
      </w:pPr>
      <w:r>
        <w:t xml:space="preserve">Objetivos Principales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8" name="Picture"/>
            <a:graphic>
              <a:graphicData uri="http://schemas.openxmlformats.org/drawingml/2006/picture">
                <pic:pic>
                  <pic:nvPicPr>
                    <pic:cNvPr descr="images/GobiernoSOA.3n.png" id="69" name="Picture"/>
                    <pic:cNvPicPr>
                      <a:picLocks noChangeArrowheads="1" noChangeAspect="1"/>
                    </pic:cNvPicPr>
                  </pic:nvPicPr>
                  <pic:blipFill>
                    <a:blip r:embed="rId67"/>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principales del gobierno SOA del FNA.</w:t>
      </w:r>
    </w:p>
    <w:p>
      <w:pPr>
        <w:pStyle w:val="Textoindependiente"/>
      </w:pPr>
      <w:r>
        <w:rPr>
          <w:iCs/>
          <w:i/>
        </w:rPr>
        <w:t xml:space="preserve">Fuente: elaboración propia.</w:t>
      </w:r>
    </w:p>
    <w:p>
      <w:pPr>
        <w:pStyle w:val="Textoindependiente"/>
      </w:pPr>
    </w:p>
    <w:p>
      <w:pPr>
        <w:numPr>
          <w:ilvl w:val="0"/>
          <w:numId w:val="1007"/>
        </w:numPr>
        <w:pStyle w:val="Compact"/>
      </w:pPr>
      <w:r>
        <w:t xml:space="preserve">Vigilancia del riesgo tecnológico en tres vías. Primero, hacer seguimiento a la inversión tecnológica, el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numPr>
          <w:ilvl w:val="0"/>
          <w:numId w:val="1007"/>
        </w:numPr>
        <w:pStyle w:val="Compact"/>
      </w:pPr>
      <w:r>
        <w:t xml:space="preserve">Del objetivo anterior (Vigilancia del riesgo tecnológico) se desprende este para enfatizar el control sobre la inversión de TI: vigilar la efectividad y factibilidad de los proyectos SOA de la organización en términos del área de efectividad del costo y factibilidad SOA. Ambos conceptos explicados en</w:t>
      </w:r>
      <w:r>
        <w:t xml:space="preserve"> </w:t>
      </w:r>
      <w:hyperlink r:id="rId30">
        <w:r>
          <w:rPr>
            <w:rStyle w:val="Hipervnculo"/>
          </w:rPr>
          <w:t xml:space="preserve">Supervisión de efectividad y factibilidad SOA</w:t>
        </w:r>
      </w:hyperlink>
      <w:r>
        <w:t xml:space="preserve">.</w:t>
      </w:r>
    </w:p>
    <w:p>
      <w:pPr>
        <w:numPr>
          <w:ilvl w:val="0"/>
          <w:numId w:val="1007"/>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7"/>
        </w:numPr>
        <w:pStyle w:val="Compact"/>
      </w:pPr>
      <w:r>
        <w:t xml:space="preserve">Vigilar y perseguir el aumento de los índices de adopción, adaptación y efectividad SOA presentes en los análisis de madurez como el realizado en la Fase 1 del diagnóstico presente (ver</w:t>
      </w:r>
      <w:r>
        <w:t xml:space="preserve"> </w:t>
      </w:r>
      <w:hyperlink r:id="rId30">
        <w:r>
          <w:rPr>
            <w:rStyle w:val="Hipervnculo"/>
          </w:rPr>
          <w:t xml:space="preserve">02.Fase 2 PR2 Estudio Madurez SOA FNA</w:t>
        </w:r>
      </w:hyperlink>
      <w:r>
        <w:t xml:space="preserve">).</w:t>
      </w:r>
    </w:p>
    <w:p>
      <w:pPr>
        <w:numPr>
          <w:ilvl w:val="0"/>
          <w:numId w:val="1007"/>
        </w:numPr>
        <w:pStyle w:val="Compact"/>
      </w:pPr>
      <w:r>
        <w:t xml:space="preserve">Poner el marcha el proceso de gobierno SOA del FNA descrito más adelante en este ejercicio (181-2020). Adaptar y monitorear los índices de rendimiento (KPI) del proceso.</w:t>
      </w:r>
    </w:p>
    <w:p>
      <w:pPr>
        <w:pStyle w:val="FirstParagraph"/>
      </w:pPr>
    </w:p>
    <w:bookmarkEnd w:id="71"/>
    <w:bookmarkStart w:id="75" w:name="otros-objetivos-del-gobierno-soa"/>
    <w:p>
      <w:pPr>
        <w:pStyle w:val="Ttulo3"/>
      </w:pPr>
      <w:r>
        <w:t xml:space="preserve">Otros Objetivos del Gobierno SOA</w:t>
      </w:r>
    </w:p>
    <w:p>
      <w:pPr>
        <w:pStyle w:val="FirstParagraph"/>
      </w:pPr>
      <w:r>
        <w:t xml:space="preserve">Para complementar la lista de objetivos del gobierno SOA recomendados por este diagnóstico al Fondo, la lista siguiente expone objetivos que pueden ser conseguidos de forma indirecta, o con la mediación de proyectos transformadores, como la Arquitectura Empresarial, transformación digital, arquitectura de negocio, entre otros.</w:t>
      </w:r>
    </w:p>
    <w:p>
      <w:pPr>
        <w:numPr>
          <w:ilvl w:val="0"/>
          <w:numId w:val="1008"/>
        </w:numPr>
        <w:pStyle w:val="Compact"/>
      </w:pPr>
      <w:r>
        <w:t xml:space="preserve">Desde el área, o rol, de gobierno SOA del FNA, servir de guía en la entrega de soluciones de software conforme a la arquitectura de referencia estregada por esta consultoría.</w:t>
      </w:r>
    </w:p>
    <w:p>
      <w:pPr>
        <w:numPr>
          <w:ilvl w:val="0"/>
          <w:numId w:val="1008"/>
        </w:numPr>
        <w:pStyle w:val="Compact"/>
      </w:pPr>
      <w:r>
        <w:t xml:space="preserve">Informar de desviaciones en la relación de efectividad de costos de los proyectos SOA del FNA (en términos del área de inefectividad de costo e infactibilidad SOA.</w:t>
      </w:r>
    </w:p>
    <w:p>
      <w:pPr>
        <w:numPr>
          <w:ilvl w:val="0"/>
          <w:numId w:val="1008"/>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drawing>
          <wp:inline>
            <wp:extent cx="5600700" cy="4177941"/>
            <wp:effectExtent b="0" l="0" r="0" t="0"/>
            <wp:docPr descr="" title="" id="73" name="Picture"/>
            <a:graphic>
              <a:graphicData uri="http://schemas.openxmlformats.org/drawingml/2006/picture">
                <pic:pic>
                  <pic:nvPicPr>
                    <pic:cNvPr descr="images/GobiernoSOA.3n-2.png" id="74" name="Picture"/>
                    <pic:cNvPicPr>
                      <a:picLocks noChangeArrowheads="1" noChangeAspect="1"/>
                    </pic:cNvPicPr>
                  </pic:nvPicPr>
                  <pic:blipFill>
                    <a:blip r:embed="rId72"/>
                    <a:stretch>
                      <a:fillRect/>
                    </a:stretch>
                  </pic:blipFill>
                  <pic:spPr bwMode="auto">
                    <a:xfrm>
                      <a:off x="0" y="0"/>
                      <a:ext cx="5600700" cy="4177941"/>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secundarios del gobierno SOA del FNA.</w:t>
      </w:r>
    </w:p>
    <w:p>
      <w:pPr>
        <w:pStyle w:val="Textoindependiente"/>
      </w:pPr>
      <w:r>
        <w:rPr>
          <w:iCs/>
          <w:i/>
        </w:rPr>
        <w:t xml:space="preserve">Fuente: elaboración propia.</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19c9d01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75"/>
    <w:bookmarkEnd w:id="76"/>
    <w:bookmarkStart w:id="98"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30">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89"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 (ver imagen 3)</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aplicaciones silos</w:t>
      </w:r>
    </w:p>
    <w:p>
      <w:pPr>
        <w:numPr>
          <w:ilvl w:val="0"/>
          <w:numId w:val="1009"/>
        </w:numPr>
        <w:pStyle w:val="Compact"/>
      </w:pPr>
      <w:r>
        <w:t xml:space="preserve">R7. Riesgo de falta de trazabilidad para la evolución e implementación de los servicios SOA</w:t>
      </w:r>
    </w:p>
    <w:p>
      <w:pPr>
        <w:pStyle w:val="FirstParagraph"/>
      </w:pPr>
    </w:p>
    <w:p>
      <w:pPr>
        <w:pStyle w:val="Figure"/>
      </w:pPr>
      <w:r>
        <w:drawing>
          <wp:inline>
            <wp:extent cx="5600700" cy="2605986"/>
            <wp:effectExtent b="0" l="0" r="0" t="0"/>
            <wp:docPr descr="" title="" id="78" name="Picture"/>
            <a:graphic>
              <a:graphicData uri="http://schemas.openxmlformats.org/drawingml/2006/picture">
                <pic:pic>
                  <pic:nvPicPr>
                    <pic:cNvPr descr="images/ESB-IBM.png" id="79" name="Picture"/>
                    <pic:cNvPicPr>
                      <a:picLocks noChangeArrowheads="1" noChangeAspect="1"/>
                    </pic:cNvPicPr>
                  </pic:nvPicPr>
                  <pic:blipFill>
                    <a:blip r:embed="rId77"/>
                    <a:stretch>
                      <a:fillRect/>
                    </a:stretch>
                  </pic:blipFill>
                  <pic:spPr bwMode="auto">
                    <a:xfrm>
                      <a:off x="0" y="0"/>
                      <a:ext cx="5600700" cy="2605986"/>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Figure"/>
      </w:pPr>
      <w:r>
        <w:drawing>
          <wp:inline>
            <wp:extent cx="5600700" cy="3464205"/>
            <wp:effectExtent b="0" l="0" r="0" t="0"/>
            <wp:docPr descr="" title="" id="81" name="Picture"/>
            <a:graphic>
              <a:graphicData uri="http://schemas.openxmlformats.org/drawingml/2006/picture">
                <pic:pic>
                  <pic:nvPicPr>
                    <pic:cNvPr descr="images/esb-procesos.png" id="82" name="Picture"/>
                    <pic:cNvPicPr>
                      <a:picLocks noChangeArrowheads="1" noChangeAspect="1"/>
                    </pic:cNvPicPr>
                  </pic:nvPicPr>
                  <pic:blipFill>
                    <a:blip r:embed="rId80"/>
                    <a:stretch>
                      <a:fillRect/>
                    </a:stretch>
                  </pic:blipFill>
                  <pic:spPr bwMode="auto">
                    <a:xfrm>
                      <a:off x="0" y="0"/>
                      <a:ext cx="5600700" cy="3464205"/>
                    </a:xfrm>
                    <a:prstGeom prst="rect">
                      <a:avLst/>
                    </a:prstGeom>
                    <a:noFill/>
                    <a:ln w="9525">
                      <a:noFill/>
                      <a:headEnd/>
                      <a:tailEnd/>
                    </a:ln>
                  </pic:spPr>
                </pic:pic>
              </a:graphicData>
            </a:graphic>
          </wp:inline>
        </w:drawing>
      </w:r>
    </w:p>
    <w:p>
      <w:pPr>
        <w:pStyle w:val="FirstParagraph"/>
      </w:pPr>
      <w:hyperlink r:id="rId70">
        <w:r>
          <w:rPr>
            <w:rStyle w:val="Hipervnculo"/>
          </w:rPr>
          <w:t xml:space="preserve">Imagen 2a.</w:t>
        </w:r>
      </w:hyperlink>
      <w:r>
        <w:t xml:space="preserve"> </w:t>
      </w: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Figure"/>
      </w:pPr>
      <w:r>
        <w:drawing>
          <wp:inline>
            <wp:extent cx="5600700" cy="2872523"/>
            <wp:effectExtent b="0" l="0" r="0" t="0"/>
            <wp:docPr descr="" title="" id="84" name="Picture"/>
            <a:graphic>
              <a:graphicData uri="http://schemas.openxmlformats.org/drawingml/2006/picture">
                <pic:pic>
                  <pic:nvPicPr>
                    <pic:cNvPr descr="images/ESB-IBM-2.png" id="85" name="Picture"/>
                    <pic:cNvPicPr>
                      <a:picLocks noChangeArrowheads="1" noChangeAspect="1"/>
                    </pic:cNvPicPr>
                  </pic:nvPicPr>
                  <pic:blipFill>
                    <a:blip r:embed="rId83"/>
                    <a:stretch>
                      <a:fillRect/>
                    </a:stretch>
                  </pic:blipFill>
                  <pic:spPr bwMode="auto">
                    <a:xfrm>
                      <a:off x="0" y="0"/>
                      <a:ext cx="5600700" cy="2872523"/>
                    </a:xfrm>
                    <a:prstGeom prst="rect">
                      <a:avLst/>
                    </a:prstGeom>
                    <a:noFill/>
                    <a:ln w="9525">
                      <a:noFill/>
                      <a:headEnd/>
                      <a:tailEnd/>
                    </a:ln>
                  </pic:spPr>
                </pic:pic>
              </a:graphicData>
            </a:graphic>
          </wp:inline>
        </w:drawing>
      </w:r>
    </w:p>
    <w:p>
      <w:pPr>
        <w:pStyle w:val="FirstParagraph"/>
      </w:pPr>
      <w:hyperlink r:id="rId70">
        <w:r>
          <w:rPr>
            <w:rStyle w:val="Hipervnculo"/>
          </w:rPr>
          <w:t xml:space="preserve">Imagen 2b.</w:t>
        </w:r>
      </w:hyperlink>
      <w:r>
        <w:t xml:space="preserve"> </w:t>
      </w: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Figure"/>
      </w:pPr>
      <w:r>
        <w:drawing>
          <wp:inline>
            <wp:extent cx="5600700" cy="1808696"/>
            <wp:effectExtent b="0" l="0" r="0" t="0"/>
            <wp:docPr descr="" title="" id="87" name="Picture"/>
            <a:graphic>
              <a:graphicData uri="http://schemas.openxmlformats.org/drawingml/2006/picture">
                <pic:pic>
                  <pic:nvPicPr>
                    <pic:cNvPr descr="images/CRM.png" id="88" name="Picture"/>
                    <pic:cNvPicPr>
                      <a:picLocks noChangeArrowheads="1" noChangeAspect="1"/>
                    </pic:cNvPicPr>
                  </pic:nvPicPr>
                  <pic:blipFill>
                    <a:blip r:embed="rId86"/>
                    <a:stretch>
                      <a:fillRect/>
                    </a:stretch>
                  </pic:blipFill>
                  <pic:spPr bwMode="auto">
                    <a:xfrm>
                      <a:off x="0" y="0"/>
                      <a:ext cx="5600700" cy="1808696"/>
                    </a:xfrm>
                    <a:prstGeom prst="rect">
                      <a:avLst/>
                    </a:prstGeom>
                    <a:noFill/>
                    <a:ln w="9525">
                      <a:noFill/>
                      <a:headEnd/>
                      <a:tailEnd/>
                    </a:ln>
                  </pic:spPr>
                </pic:pic>
              </a:graphicData>
            </a:graphic>
          </wp:inline>
        </w:drawing>
      </w:r>
    </w:p>
    <w:p>
      <w:pPr>
        <w:pStyle w:val="FirstParagraph"/>
      </w:pPr>
      <w:hyperlink r:id="rId70">
        <w:r>
          <w:rPr>
            <w:rStyle w:val="Hipervnculo"/>
          </w:rPr>
          <w:t xml:space="preserve">Imagen 3.</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Capacidades FNA por Desarrollar para 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19c9d01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89"/>
    <w:bookmarkStart w:id="93"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futuras del equipo de gobierno SOA o del Comité de arquitectura del Fondo están relacionados directamente con los objeitvos del gobierno SOA y con los riesgos tecnológicos encontrados en la Fase 1 (ver</w:t>
      </w:r>
      <w:r>
        <w:t xml:space="preserve"> </w:t>
      </w:r>
      <w:hyperlink r:id="rId30">
        <w:r>
          <w:rPr>
            <w:rStyle w:val="Hipervnculo"/>
          </w:rPr>
          <w:t xml:space="preserve">06a.Objetivos gobierno</w:t>
        </w:r>
      </w:hyperlink>
      <w:r>
        <w:t xml:space="preserve">, y</w:t>
      </w:r>
      <w:r>
        <w:t xml:space="preserve"> </w:t>
      </w:r>
      <w:hyperlink r:id="rId30">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no es del alcance de esta consultoría, E-Service (contrato 181-2020), desarrollar estas capacidades. Esto requeriría de la ejecución de otro(s) proyecto. El Fondo podría desarrollar estas capacidades indicadas por este diagnóstico de forma interna, o contratar proyectos para la creación y gestión de estas capacidades.</w:t>
      </w:r>
    </w:p>
    <w:p>
      <w:pPr>
        <w:pStyle w:val="FirstParagraph"/>
      </w:pPr>
    </w:p>
    <w:p>
      <w:pPr>
        <w:pStyle w:val="Figure"/>
      </w:pPr>
      <w:r>
        <w:drawing>
          <wp:inline>
            <wp:extent cx="5600700" cy="4853940"/>
            <wp:effectExtent b="0" l="0" r="0" t="0"/>
            <wp:docPr descr="" title="" id="91" name="Picture"/>
            <a:graphic>
              <a:graphicData uri="http://schemas.openxmlformats.org/drawingml/2006/picture">
                <pic:pic>
                  <pic:nvPicPr>
                    <pic:cNvPr descr="images/capacidades.png" id="92" name="Picture"/>
                    <pic:cNvPicPr>
                      <a:picLocks noChangeArrowheads="1" noChangeAspect="1"/>
                    </pic:cNvPicPr>
                  </pic:nvPicPr>
                  <pic:blipFill>
                    <a:blip r:embed="rId90"/>
                    <a:stretch>
                      <a:fillRect/>
                    </a:stretch>
                  </pic:blipFill>
                  <pic:spPr bwMode="auto">
                    <a:xfrm>
                      <a:off x="0" y="0"/>
                      <a:ext cx="5600700" cy="4853940"/>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elaboración propia.</w:t>
      </w:r>
    </w:p>
    <w:p>
      <w:pPr>
        <w:pStyle w:val="Textoindependiente"/>
      </w:pPr>
    </w:p>
    <w:p>
      <w:pPr>
        <w:numPr>
          <w:ilvl w:val="0"/>
          <w:numId w:val="1010"/>
        </w:numPr>
        <w:pStyle w:val="Compact"/>
      </w:pPr>
      <w:r>
        <w:t xml:space="preserve">CAP1. Realizar e implementar estrategias y entregables para planear y analizar la arquitectura de referencia SOA del Fondo (resultado Fase 2 de este diagnóstico).</w:t>
      </w:r>
    </w:p>
    <w:p>
      <w:pPr>
        <w:numPr>
          <w:ilvl w:val="0"/>
          <w:numId w:val="1010"/>
        </w:numPr>
        <w:pStyle w:val="Compact"/>
      </w:pPr>
      <w:r>
        <w:t xml:space="preserve">CAP2.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w:t>
      </w:r>
    </w:p>
    <w:p>
      <w:pPr>
        <w:numPr>
          <w:ilvl w:val="0"/>
          <w:numId w:val="1010"/>
        </w:numPr>
        <w:pStyle w:val="Compact"/>
      </w:pPr>
      <w:r>
        <w:t xml:space="preserve">CAP3. Realizar y gestionar la puesta en marcha de hojas de ruta para cerrar brechas y alcanzar estados futuros de la arquitectura (TOGAF 9, Fase G, Implementation governance). Ver anexo 1.</w:t>
      </w:r>
    </w:p>
    <w:p>
      <w:pPr>
        <w:numPr>
          <w:ilvl w:val="0"/>
          <w:numId w:val="1010"/>
        </w:numPr>
        <w:pStyle w:val="Compact"/>
      </w:pPr>
      <w:r>
        <w:t xml:space="preserve">CAP4. Ejercitar la trazabilidad de los activos y productos de TI con los productos y decisiones de negocio de las áreas del FNA, como la vicepresidencia de Crédito y la de Operaciones ante la llegada de impactos, cambios, reformas y bajas tecnológicas.</w:t>
      </w:r>
    </w:p>
    <w:p>
      <w:pPr>
        <w:numPr>
          <w:ilvl w:val="0"/>
          <w:numId w:val="1010"/>
        </w:numPr>
        <w:pStyle w:val="Compact"/>
      </w:pPr>
      <w:r>
        <w:t xml:space="preserve">CAP5. Realizar análisis de impacto, riesgos, costo beneficio, capacidad usada, y gestión de demanda ante la evaluación de cambios a la arquitectura de referencia SOA y activos de TI, cuando lo amerite.</w:t>
      </w:r>
    </w:p>
    <w:p>
      <w:pPr>
        <w:numPr>
          <w:ilvl w:val="0"/>
          <w:numId w:val="1010"/>
        </w:numPr>
        <w:pStyle w:val="Compact"/>
      </w:pPr>
      <w:r>
        <w:t xml:space="preserve">CAP6. Emitir y gestionar los contenidos de documentación técnica, como principios, restricciones tecnológicas, marcos de trabajo, normas, diseños, y estándares para el uso de los proveedores, servicios de fábricas del FNA, planta interna, Comunicación y Planeación.</w:t>
      </w:r>
    </w:p>
    <w:p>
      <w:pPr>
        <w:numPr>
          <w:ilvl w:val="0"/>
          <w:numId w:val="1010"/>
        </w:numPr>
        <w:pStyle w:val="Compact"/>
      </w:pPr>
      <w:r>
        <w:t xml:space="preserve">CAP7.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w:t>
      </w:r>
    </w:p>
    <w:p>
      <w:pPr>
        <w:pStyle w:val="FirstParagraph"/>
      </w:pPr>
    </w:p>
    <w:bookmarkEnd w:id="93"/>
    <w:bookmarkStart w:id="97" w:name="Xe88be27d6eb70972344917e0d93a64398106ab7"/>
    <w:p>
      <w:pPr>
        <w:pStyle w:val="Ttulo3"/>
      </w:pPr>
      <w:r>
        <w:t xml:space="preserve">Anexo 1. Proceso de Arquitectura Empresarial</w:t>
      </w:r>
    </w:p>
    <w:p>
      <w:pPr>
        <w:pStyle w:val="Figure"/>
      </w:pPr>
      <w:r>
        <w:drawing>
          <wp:inline>
            <wp:extent cx="4406900" cy="5791200"/>
            <wp:effectExtent b="0" l="0" r="0" t="0"/>
            <wp:docPr descr="" title="" id="95" name="Picture"/>
            <a:graphic>
              <a:graphicData uri="http://schemas.openxmlformats.org/drawingml/2006/picture">
                <pic:pic>
                  <pic:nvPicPr>
                    <pic:cNvPr descr="images/adm.gif" id="96" name="Picture"/>
                    <pic:cNvPicPr>
                      <a:picLocks noChangeArrowheads="1" noChangeAspect="1"/>
                    </pic:cNvPicPr>
                  </pic:nvPicPr>
                  <pic:blipFill>
                    <a:blip r:embed="rId94"/>
                    <a:stretch>
                      <a:fillRect/>
                    </a:stretch>
                  </pic:blipFill>
                  <pic:spPr bwMode="auto">
                    <a:xfrm>
                      <a:off x="0" y="0"/>
                      <a:ext cx="4406900" cy="5791200"/>
                    </a:xfrm>
                    <a:prstGeom prst="rect">
                      <a:avLst/>
                    </a:prstGeom>
                    <a:noFill/>
                    <a:ln w="9525">
                      <a:noFill/>
                      <a:headEnd/>
                      <a:tailEnd/>
                    </a:ln>
                  </pic:spPr>
                </pic:pic>
              </a:graphicData>
            </a:graphic>
          </wp:inline>
        </w:drawing>
      </w:r>
    </w:p>
    <w:p>
      <w:pPr>
        <w:pStyle w:val="FirstParagraph"/>
      </w:pPr>
      <w:hyperlink r:id="rId70">
        <w:r>
          <w:rPr>
            <w:rStyle w:val="Hipervnculo"/>
          </w:rPr>
          <w:t xml:space="preserve">Imagen 2.</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www.opengroup.org/soa/source-book/togaf.</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Mejora de los indicadores de efectividad (madurez) SOA</w:t>
            </w:r>
          </w:p>
        </w:tc>
      </w:tr>
      <w:tr>
        <w:tc>
          <w:tcPr/>
          <w:p>
            <w:pPr>
              <w:pStyle w:val="Compact"/>
              <w:jc w:val="left"/>
            </w:pPr>
            <w:r>
              <w:t xml:space="preserve">Palabras clave</w:t>
            </w:r>
          </w:p>
        </w:tc>
        <w:tc>
          <w:tcPr/>
          <w:p>
            <w:pPr>
              <w:pStyle w:val="Compact"/>
              <w:jc w:val="left"/>
            </w:pPr>
            <w:r>
              <w:t xml:space="preserve">SOA, Inversión TI, Eficacia, KPI, Proceso SOA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19c9d01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97"/>
    <w:bookmarkEnd w:id="98"/>
    <w:bookmarkStart w:id="102" w:name="Xff4f42baf9b50ac01936928b2c96ee550898d14"/>
    <w:p>
      <w:pPr>
        <w:pStyle w:val="Ttulo2"/>
      </w:pPr>
      <w:r>
        <w:t xml:space="preserve">Indicadores de Efectividad del Gobierno SOA</w:t>
      </w:r>
    </w:p>
    <w:p>
      <w:pPr>
        <w:pStyle w:val="FirstParagraph"/>
      </w:pPr>
      <w:r>
        <w:t xml:space="preserve">Más allá de los índices propuestos por el análisis de madurez SOA desarrollado en la Fase 1 de este diagnóstico,</w:t>
      </w:r>
      <w:r>
        <w:t xml:space="preserve"> </w:t>
      </w:r>
      <w:r>
        <w:rPr>
          <w:iCs/>
          <w:i/>
        </w:rPr>
        <w:t xml:space="preserve">para el FNA es clave mantener activo el vínculo de sus activos tanto de infraestructura como los activos SOA (y de todos, aunque se escapen del alcance de este ejercicio) con el contexto de negocio de las vicepresidencias de Operaciones y de Crédito</w:t>
      </w:r>
      <w:r>
        <w:t xml:space="preserve">. Esto es, el principal indicador del gobierno SOA es la existencia y actualidad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r>
        <w:t xml:space="preserve"> </w:t>
      </w: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p>
      <w:pPr>
        <w:pStyle w:val="Figure"/>
      </w:pPr>
      <w:r>
        <w:drawing>
          <wp:inline>
            <wp:extent cx="5600700" cy="4070237"/>
            <wp:effectExtent b="0" l="0" r="0" t="0"/>
            <wp:docPr descr="" title="" id="100" name="Picture"/>
            <a:graphic>
              <a:graphicData uri="http://schemas.openxmlformats.org/drawingml/2006/picture">
                <pic:pic>
                  <pic:nvPicPr>
                    <pic:cNvPr descr="images/vinculocontexto.png" id="101" name="Picture"/>
                    <pic:cNvPicPr>
                      <a:picLocks noChangeArrowheads="1" noChangeAspect="1"/>
                    </pic:cNvPicPr>
                  </pic:nvPicPr>
                  <pic:blipFill>
                    <a:blip r:embed="rId99"/>
                    <a:stretch>
                      <a:fillRect/>
                    </a:stretch>
                  </pic:blipFill>
                  <pic:spPr bwMode="auto">
                    <a:xfrm>
                      <a:off x="0" y="0"/>
                      <a:ext cx="5600700" cy="4070237"/>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bookmarkEnd w:id="102"/>
    <w:bookmarkStart w:id="106"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30">
        <w:r>
          <w:rPr>
            <w:rStyle w:val="Hipervnculo"/>
          </w:rPr>
          <w:t xml:space="preserve">04b.Resumen Fase 1</w:t>
        </w:r>
      </w:hyperlink>
      <w:r>
        <w:t xml:space="preserve">). sirven de base de pirámide para el indicador principal.</w:t>
      </w:r>
    </w:p>
    <w:p>
      <w:pPr>
        <w:numPr>
          <w:ilvl w:val="0"/>
          <w:numId w:val="1011"/>
        </w:numPr>
        <w:pStyle w:val="Compact"/>
      </w:pPr>
      <w:r>
        <w:t xml:space="preserve">Índice de alineación de la arquitectura de referencia SOA con las capacidades de negocio</w:t>
      </w:r>
    </w:p>
    <w:p>
      <w:pPr>
        <w:numPr>
          <w:ilvl w:val="0"/>
          <w:numId w:val="1011"/>
        </w:numPr>
        <w:pStyle w:val="Compact"/>
      </w:pPr>
      <w:r>
        <w:t xml:space="preserve">Índice de conformidad de los servicios SOA a los estándares de diseño orientados a servicio</w:t>
      </w:r>
    </w:p>
    <w:p>
      <w:pPr>
        <w:numPr>
          <w:ilvl w:val="0"/>
          <w:numId w:val="1011"/>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p>
      <w:pPr>
        <w:pStyle w:val="Figure"/>
      </w:pPr>
      <w:r>
        <w:drawing>
          <wp:inline>
            <wp:extent cx="5600700" cy="3752043"/>
            <wp:effectExtent b="0" l="0" r="0" t="0"/>
            <wp:docPr descr="" title="" id="104" name="Picture"/>
            <a:graphic>
              <a:graphicData uri="http://schemas.openxmlformats.org/drawingml/2006/picture">
                <pic:pic>
                  <pic:nvPicPr>
                    <pic:cNvPr descr="images/indices.png" id="105" name="Picture"/>
                    <pic:cNvPicPr>
                      <a:picLocks noChangeArrowheads="1" noChangeAspect="1"/>
                    </pic:cNvPicPr>
                  </pic:nvPicPr>
                  <pic:blipFill>
                    <a:blip r:embed="rId103"/>
                    <a:stretch>
                      <a:fillRect/>
                    </a:stretch>
                  </pic:blipFill>
                  <pic:spPr bwMode="auto">
                    <a:xfrm>
                      <a:off x="0" y="0"/>
                      <a:ext cx="5600700" cy="3752043"/>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106"/>
    <w:bookmarkStart w:id="111"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10"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p>
      <w:pPr>
        <w:pStyle w:val="Figure"/>
      </w:pPr>
      <w:r>
        <w:drawing>
          <wp:inline>
            <wp:extent cx="5600700" cy="9521884"/>
            <wp:effectExtent b="0" l="0" r="0" t="0"/>
            <wp:docPr descr="" title="" id="108" name="Picture"/>
            <a:graphic>
              <a:graphicData uri="http://schemas.openxmlformats.org/drawingml/2006/picture">
                <pic:pic>
                  <pic:nvPicPr>
                    <pic:cNvPr descr="images/analisisSOA-1.png" id="109" name="Picture"/>
                    <pic:cNvPicPr>
                      <a:picLocks noChangeArrowheads="1" noChangeAspect="1"/>
                    </pic:cNvPicPr>
                  </pic:nvPicPr>
                  <pic:blipFill>
                    <a:blip r:embed="rId107"/>
                    <a:stretch>
                      <a:fillRect/>
                    </a:stretch>
                  </pic:blipFill>
                  <pic:spPr bwMode="auto">
                    <a:xfrm>
                      <a:off x="0" y="0"/>
                      <a:ext cx="5600700" cy="9521884"/>
                    </a:xfrm>
                    <a:prstGeom prst="rect">
                      <a:avLst/>
                    </a:prstGeom>
                    <a:noFill/>
                    <a:ln w="9525">
                      <a:noFill/>
                      <a:headEnd/>
                      <a:tailEnd/>
                    </a:ln>
                  </pic:spPr>
                </pic:pic>
              </a:graphicData>
            </a:graphic>
          </wp:inline>
        </w:drawing>
      </w:r>
    </w:p>
    <w:p>
      <w:pPr>
        <w:pStyle w:val="FirstParagraph"/>
      </w:pPr>
      <w:hyperlink r:id="rId70">
        <w:r>
          <w:rPr>
            <w:rStyle w:val="Hipervnculo"/>
          </w:rPr>
          <w:t xml:space="preserve">Imagen.</w:t>
        </w:r>
      </w:hyperlink>
      <w:r>
        <w:t xml:space="preserve"> </w:t>
      </w:r>
      <w:r>
        <w:t xml:space="preserve">Resultados Según los resultados internos del diagnóstico. Dimensión de Negocio.</w:t>
      </w:r>
    </w:p>
    <w:p>
      <w:pPr>
        <w:pStyle w:val="Textoindependiente"/>
      </w:pPr>
      <w:r>
        <w:rPr>
          <w:iCs/>
          <w:i/>
        </w:rPr>
        <w:t xml:space="preserve">Fuente: herramienta de diagnóstico de madurez SOA. Elaboración propia</w:t>
      </w:r>
      <w:r>
        <w:t xml:space="preserve">.</w:t>
      </w:r>
    </w:p>
    <w:p>
      <w:pPr>
        <w:pStyle w:val="Textoindependiente"/>
      </w:pP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Consideraciones para la puesta en marcha del gobierno SOA en el FNA</w:t>
            </w:r>
          </w:p>
        </w:tc>
      </w:tr>
      <w:tr>
        <w:tc>
          <w:tcPr/>
          <w:p>
            <w:pPr>
              <w:pStyle w:val="Compact"/>
              <w:jc w:val="left"/>
            </w:pPr>
            <w:r>
              <w:t xml:space="preserve">Palabras clave</w:t>
            </w:r>
          </w:p>
        </w:tc>
        <w:tc>
          <w:tcPr/>
          <w:p>
            <w:pPr>
              <w:pStyle w:val="Compact"/>
              <w:jc w:val="left"/>
            </w:pPr>
            <w:r>
              <w:t xml:space="preserve">SOA, Inversión TI, Eficacia, KPI, Proceso SOA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19c9d01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110"/>
    <w:bookmarkEnd w:id="111"/>
    <w:bookmarkStart w:id="124" w:name="X7b1799e8992bf20725387cf9702e0fe9ba93d9c"/>
    <w:p>
      <w:pPr>
        <w:pStyle w:val="Ttulo2"/>
      </w:pPr>
      <w:r>
        <w:t xml:space="preserve">Consideraciones para Implementación del Gobierno SOA en FNA</w:t>
      </w:r>
    </w:p>
    <w:bookmarkStart w:id="115" w:name="Xa1c6879a845632a5ad71364fcbb0740af3ab236"/>
    <w:p>
      <w:pPr>
        <w:pStyle w:val="Ttulo3"/>
      </w:pPr>
      <w:r>
        <w:t xml:space="preserve">Marco de Trabajo para Implementar Gobierno SOA en FNA</w:t>
      </w:r>
    </w:p>
    <w:p>
      <w:pPr>
        <w:pStyle w:val="FirstParagraph"/>
      </w:pPr>
      <w:r>
        <w:t xml:space="preserve">Un Marco de trabajo adaptado para la organización que responde y gestiona los cambios evolutivos de la arquitectura de referencia SOA instalada en el Fondo. Esta versión del marco de gobierno, que necesariamente es una versión inicial para el FNA dado el resultado del análisis de madurez de la Fase 1, procura únicamente la gestión de cambios de la arquitectura. Versiones posteriores de este modelo puede y deberá abordar problemáticas señaladas por nuevos análisis.</w:t>
      </w:r>
    </w:p>
    <w:p>
      <w:pPr>
        <w:pStyle w:val="Figure"/>
      </w:pPr>
      <w:r>
        <w:drawing>
          <wp:inline>
            <wp:extent cx="5600700" cy="4485837"/>
            <wp:effectExtent b="0" l="0" r="0" t="0"/>
            <wp:docPr descr="" title="" id="113" name="Picture"/>
            <a:graphic>
              <a:graphicData uri="http://schemas.openxmlformats.org/drawingml/2006/picture">
                <pic:pic>
                  <pic:nvPicPr>
                    <pic:cNvPr descr="images/modelo-gob.png" id="114" name="Picture"/>
                    <pic:cNvPicPr>
                      <a:picLocks noChangeArrowheads="1" noChangeAspect="1"/>
                    </pic:cNvPicPr>
                  </pic:nvPicPr>
                  <pic:blipFill>
                    <a:blip r:embed="rId112"/>
                    <a:stretch>
                      <a:fillRect/>
                    </a:stretch>
                  </pic:blipFill>
                  <pic:spPr bwMode="auto">
                    <a:xfrm>
                      <a:off x="0" y="0"/>
                      <a:ext cx="5600700" cy="4485837"/>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Actores del FNA necesarios para el Gobierno SOA.</w:t>
      </w:r>
    </w:p>
    <w:p>
      <w:pPr>
        <w:pStyle w:val="Textoindependiente"/>
      </w:pPr>
      <w:r>
        <w:rPr>
          <w:iCs/>
          <w:i/>
        </w:rPr>
        <w:t xml:space="preserve">Fuente: elaboración propia.</w:t>
      </w:r>
    </w:p>
    <w:p>
      <w:pPr>
        <w:pStyle w:val="Textoindependiente"/>
      </w:pPr>
    </w:p>
    <w:bookmarkEnd w:id="115"/>
    <w:bookmarkStart w:id="119" w:name="X802b6048edc5ed7cd034d9036d554bc89e00fc6"/>
    <w:p>
      <w:pPr>
        <w:pStyle w:val="Ttulo3"/>
      </w:pPr>
      <w:r>
        <w:t xml:space="preserve">Equpo de Trabajo para el Gobierno SOA del FNA</w:t>
      </w:r>
    </w:p>
    <w:p>
      <w:pPr>
        <w:pStyle w:val="FirstParagraph"/>
      </w:pPr>
      <w:r>
        <w:t xml:space="preserve">El equipo de trabajo requerido conforme el modelo de gobierno SOA presentado aquí se compone del capital humano en los roles de gestión de la tecnología y arquitectura en los ámbitos de diseño de servicios y componentes, infraestructura tecnológica y redes, aplicaciones de solución y herramientas de software y del especialista de las estructuras de negocio e información. Estos recursos deben ser preferiblemente internos a la organización debido a la gestión de conocimiento del</w:t>
      </w:r>
      <w:r>
        <w:t xml:space="preserve"> </w:t>
      </w:r>
      <w:r>
        <w:rPr>
          <w:iCs/>
          <w:i/>
        </w:rPr>
        <w:t xml:space="preserve">activo más importante del gobierno SOA, la arquitectura de referencia y los vínculos de esta con los contextos de negocio y TI</w:t>
      </w:r>
      <w:r>
        <w:t xml:space="preserve">.</w:t>
      </w:r>
    </w:p>
    <w:p>
      <w:pPr>
        <w:pStyle w:val="Figure"/>
      </w:pPr>
      <w:r>
        <w:drawing>
          <wp:inline>
            <wp:extent cx="5600700" cy="3272565"/>
            <wp:effectExtent b="0" l="0" r="0" t="0"/>
            <wp:docPr descr="" title="" id="117" name="Picture"/>
            <a:graphic>
              <a:graphicData uri="http://schemas.openxmlformats.org/drawingml/2006/picture">
                <pic:pic>
                  <pic:nvPicPr>
                    <pic:cNvPr descr="images/equipo-gob.png" id="118" name="Picture"/>
                    <pic:cNvPicPr>
                      <a:picLocks noChangeArrowheads="1" noChangeAspect="1"/>
                    </pic:cNvPicPr>
                  </pic:nvPicPr>
                  <pic:blipFill>
                    <a:blip r:embed="rId116"/>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70">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119"/>
    <w:bookmarkStart w:id="123" w:name="proceso-de-gobierno-soa-para-el-fna"/>
    <w:p>
      <w:pPr>
        <w:pStyle w:val="Ttulo3"/>
      </w:pPr>
      <w:r>
        <w:t xml:space="preserve">Proceso de Gobierno SOA para el FNA</w:t>
      </w:r>
    </w:p>
    <w:p>
      <w:pPr>
        <w:pStyle w:val="FirstParagraph"/>
      </w:pPr>
      <w:r>
        <w:t xml:space="preserve">Por último, el proceso de gobierno SOA es la conjugación de las dos condiciones aquí presentadas, el marco de trabajo (acciones y herramientas) y el equipo de trabajo, que son los recursos de capital humano y sus intereacciones. Este proceso adaptado al FNA busca alcanzar los objetivos SOA determinados por este diagnóstico. (ver imagen abajo)</w:t>
      </w:r>
    </w:p>
    <w:p>
      <w:pPr>
        <w:pStyle w:val="Figure"/>
      </w:pPr>
      <w:r>
        <w:drawing>
          <wp:inline>
            <wp:extent cx="5600700" cy="2139593"/>
            <wp:effectExtent b="0" l="0" r="0" t="0"/>
            <wp:docPr descr="" title="" id="121" name="Picture"/>
            <a:graphic>
              <a:graphicData uri="http://schemas.openxmlformats.org/drawingml/2006/picture">
                <pic:pic>
                  <pic:nvPicPr>
                    <pic:cNvPr descr="images/proceso-gob.png" id="122" name="Picture"/>
                    <pic:cNvPicPr>
                      <a:picLocks noChangeArrowheads="1" noChangeAspect="1"/>
                    </pic:cNvPicPr>
                  </pic:nvPicPr>
                  <pic:blipFill>
                    <a:blip r:embed="rId120"/>
                    <a:stretch>
                      <a:fillRect/>
                    </a:stretch>
                  </pic:blipFill>
                  <pic:spPr bwMode="auto">
                    <a:xfrm>
                      <a:off x="0" y="0"/>
                      <a:ext cx="5600700" cy="2139593"/>
                    </a:xfrm>
                    <a:prstGeom prst="rect">
                      <a:avLst/>
                    </a:prstGeom>
                    <a:noFill/>
                    <a:ln w="9525">
                      <a:noFill/>
                      <a:headEnd/>
                      <a:tailEnd/>
                    </a:ln>
                  </pic:spPr>
                </pic:pic>
              </a:graphicData>
            </a:graphic>
          </wp:inline>
        </w:drawing>
      </w:r>
    </w:p>
    <w:p>
      <w:pPr>
        <w:pStyle w:val="FirstParagraph"/>
      </w:pPr>
      <w:hyperlink r:id="rId70">
        <w:r>
          <w:rPr>
            <w:rStyle w:val="Hipervnculo"/>
          </w:rPr>
          <w:t xml:space="preserve">Imagen 3.</w:t>
        </w:r>
      </w:hyperlink>
      <w:r>
        <w:t xml:space="preserve"> </w:t>
      </w:r>
      <w:r>
        <w:t xml:space="preserve">Actividades y relaciones del proceso principal de gobierno SOA para el FNA. Relación con capacidades y objetivos SOA necesarios para el FNA.</w:t>
      </w:r>
    </w:p>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De esa manera, las capacidades SOA relacionadas con este proceso buscan lograr los objetivos SOA establecidos por esta consultoría y que el FNA debe perseguir.</w:t>
      </w:r>
    </w:p>
    <w:bookmarkEnd w:id="123"/>
    <w:bookmarkEnd w:id="124"/>
    <w:bookmarkStart w:id="126" w:name="anexos"/>
    <w:p>
      <w:pPr>
        <w:pStyle w:val="Ttulo2"/>
      </w:pPr>
      <w:r>
        <w:t xml:space="preserve">Anexos</w:t>
      </w:r>
    </w:p>
    <w:bookmarkStart w:id="125" w:name="procedimiento-del-área-ti-del-fna"/>
    <w:p>
      <w:pPr>
        <w:pStyle w:val="Ttulo3"/>
      </w:pPr>
      <w:r>
        <w:t xml:space="preserve">Procedimiento del Área TI del FNA</w:t>
      </w:r>
    </w:p>
    <w:bookmarkEnd w:id="125"/>
    <w:bookmarkEnd w:id="126"/>
    <w:bookmarkEnd w:id="127"/>
    <w:bookmarkStart w:id="128" w:name="fase-2-soa-objetivo-fna-2"/>
    <w:p>
      <w:pPr>
        <w:pStyle w:val="Ttulo1"/>
      </w:pPr>
      <w:r>
        <w:t xml:space="preserve">Fase 2: SOA Objetivo FNA</w:t>
      </w:r>
    </w:p>
    <w:bookmarkEnd w:id="128"/>
    <w:bookmarkStart w:id="129" w:name="X024845d8147b634bd34f6993612268e32f0d607"/>
    <w:p>
      <w:pPr>
        <w:pStyle w:val="Ttulo1"/>
      </w:pPr>
      <w:r>
        <w:t xml:space="preserve">Contenido de los Productos Contractuales, 181-2020</w:t>
      </w:r>
    </w:p>
    <w:bookmarkEnd w:id="129"/>
    <w:bookmarkStart w:id="133"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30"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130"/>
    <w:bookmarkStart w:id="131" w:name="contenidos-2"/>
    <w:p>
      <w:pPr>
        <w:pStyle w:val="Ttulo2"/>
      </w:pPr>
      <w:r>
        <w:t xml:space="preserve">Contenidos</w:t>
      </w:r>
    </w:p>
    <w:p>
      <w:pPr>
        <w:numPr>
          <w:ilvl w:val="0"/>
          <w:numId w:val="1012"/>
        </w:numPr>
        <w:pStyle w:val="Compact"/>
      </w:pPr>
      <w:r>
        <w:t xml:space="preserve">Lista tecnologías SOA afines al Fondo</w:t>
      </w:r>
    </w:p>
    <w:p>
      <w:pPr>
        <w:numPr>
          <w:ilvl w:val="0"/>
          <w:numId w:val="1012"/>
        </w:numPr>
        <w:pStyle w:val="Compact"/>
      </w:pPr>
      <w:r>
        <w:t xml:space="preserve">Lista de beneficios al FNA por las tecnologías seleccionadas</w:t>
      </w:r>
    </w:p>
    <w:p>
      <w:pPr>
        <w:numPr>
          <w:ilvl w:val="0"/>
          <w:numId w:val="1012"/>
        </w:numPr>
        <w:pStyle w:val="Compact"/>
      </w:pPr>
      <w:r>
        <w:t xml:space="preserve">Implicaciones para la adquisición y adopción tecnológica</w:t>
      </w:r>
    </w:p>
    <w:p>
      <w:pPr>
        <w:pStyle w:val="FirstParagraph"/>
      </w:pPr>
    </w:p>
    <w:bookmarkEnd w:id="131"/>
    <w:bookmarkStart w:id="132" w:name="criterios-de-aceptación-2"/>
    <w:p>
      <w:pPr>
        <w:pStyle w:val="Ttulo2"/>
      </w:pPr>
      <w:r>
        <w:t xml:space="preserve">Criterios de Aceptación</w:t>
      </w:r>
    </w:p>
    <w:p>
      <w:pPr>
        <w:numPr>
          <w:ilvl w:val="0"/>
          <w:numId w:val="1013"/>
        </w:numPr>
        <w:pStyle w:val="Compact"/>
      </w:pPr>
      <w:r>
        <w:t xml:space="preserve">Evaluación e Identificación de la tecnología SOA en alineación con los objetivos del proyecto</w:t>
      </w:r>
    </w:p>
    <w:p>
      <w:pPr>
        <w:numPr>
          <w:ilvl w:val="0"/>
          <w:numId w:val="1013"/>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19c9d01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132"/>
    <w:bookmarkEnd w:id="133"/>
    <w:bookmarkStart w:id="135" w:name="Xc661194b942662c596467c2a6efe0821b24b10d"/>
    <w:p>
      <w:pPr>
        <w:pStyle w:val="Ttulo1"/>
      </w:pPr>
      <w:r>
        <w:t xml:space="preserve">Estrategia de modelado e identificación de servicios</w:t>
      </w:r>
    </w:p>
    <w:bookmarkStart w:id="134"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4"/>
        </w:numPr>
        <w:pStyle w:val="Compact"/>
      </w:pPr>
      <w:r>
        <w:t xml:space="preserve">Entity. Modela un elemento de forma individual Tiene un identificador único.</w:t>
      </w:r>
    </w:p>
    <w:p>
      <w:pPr>
        <w:numPr>
          <w:ilvl w:val="0"/>
          <w:numId w:val="1014"/>
        </w:numPr>
        <w:pStyle w:val="Compact"/>
      </w:pPr>
      <w:r>
        <w:t xml:space="preserve">Value Objects. Modela un concepto inmmutable, el cual no tiene identificador único. Usualmente se usa para describir, cuantificar o medir un Entity.</w:t>
      </w:r>
    </w:p>
    <w:p>
      <w:pPr>
        <w:numPr>
          <w:ilvl w:val="0"/>
          <w:numId w:val="1014"/>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5"/>
        </w:numPr>
        <w:pStyle w:val="Compact"/>
      </w:pPr>
      <w:r>
        <w:t xml:space="preserve">Las innvariantes de negocio se protegen dentro de un Aggregate</w:t>
      </w:r>
    </w:p>
    <w:p>
      <w:pPr>
        <w:numPr>
          <w:ilvl w:val="0"/>
          <w:numId w:val="1015"/>
        </w:numPr>
        <w:pStyle w:val="Compact"/>
      </w:pPr>
      <w:r>
        <w:t xml:space="preserve">Propender por diseñar Aggregates pequeños</w:t>
      </w:r>
    </w:p>
    <w:p>
      <w:pPr>
        <w:numPr>
          <w:ilvl w:val="0"/>
          <w:numId w:val="1015"/>
        </w:numPr>
        <w:pStyle w:val="Compact"/>
      </w:pPr>
      <w:r>
        <w:t xml:space="preserve">Solo se referencian otros aggregates por su identificador</w:t>
      </w:r>
    </w:p>
    <w:p>
      <w:pPr>
        <w:numPr>
          <w:ilvl w:val="0"/>
          <w:numId w:val="1015"/>
        </w:numPr>
        <w:pStyle w:val="Compact"/>
      </w:pPr>
      <w:r>
        <w:t xml:space="preserve">Los Aggregates se actualizan mediante la consistencia eventual</w:t>
      </w:r>
    </w:p>
    <w:bookmarkEnd w:id="134"/>
    <w:bookmarkEnd w:id="135"/>
    <w:bookmarkStart w:id="136" w:name="fase-2-soa-objetivo"/>
    <w:p>
      <w:pPr>
        <w:pStyle w:val="Ttulo1"/>
      </w:pPr>
      <w:r>
        <w:t xml:space="preserve">Fase 2: SOA Objetivo</w:t>
      </w:r>
    </w:p>
    <w:bookmarkEnd w:id="136"/>
    <w:bookmarkStart w:id="137" w:name="X07b3a00b5f5fc91de94900ce5498c32360db804"/>
    <w:p>
      <w:pPr>
        <w:pStyle w:val="Ttulo1"/>
      </w:pPr>
      <w:r>
        <w:t xml:space="preserve">Contenido de los Productos Contractuales, 181-2020</w:t>
      </w:r>
    </w:p>
    <w:bookmarkEnd w:id="137"/>
    <w:bookmarkStart w:id="141"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38"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138"/>
    <w:bookmarkStart w:id="139" w:name="contenidos-3"/>
    <w:p>
      <w:pPr>
        <w:pStyle w:val="Ttulo2"/>
      </w:pPr>
      <w:r>
        <w:t xml:space="preserve">Contenidos</w:t>
      </w:r>
    </w:p>
    <w:p>
      <w:pPr>
        <w:numPr>
          <w:ilvl w:val="0"/>
          <w:numId w:val="1016"/>
        </w:numPr>
        <w:pStyle w:val="Compact"/>
      </w:pPr>
      <w:r>
        <w:t xml:space="preserve">Arquitectura de referencia SOA FNA, versión 2.0</w:t>
      </w:r>
    </w:p>
    <w:p>
      <w:pPr>
        <w:numPr>
          <w:ilvl w:val="0"/>
          <w:numId w:val="1016"/>
        </w:numPr>
        <w:pStyle w:val="Compact"/>
      </w:pPr>
      <w:r>
        <w:t xml:space="preserve">Consideraciones para gobierno y adaptabilidad de la arquitectura 2.0</w:t>
      </w:r>
    </w:p>
    <w:p>
      <w:pPr>
        <w:numPr>
          <w:ilvl w:val="0"/>
          <w:numId w:val="1016"/>
        </w:numPr>
        <w:pStyle w:val="Compact"/>
      </w:pPr>
      <w:r>
        <w:t xml:space="preserve">Administración de requerimientos de arquitectura para evolución y mantenimiento</w:t>
      </w:r>
    </w:p>
    <w:p>
      <w:pPr>
        <w:numPr>
          <w:ilvl w:val="0"/>
          <w:numId w:val="1016"/>
        </w:numPr>
        <w:pStyle w:val="Compact"/>
      </w:pPr>
      <w:r>
        <w:t xml:space="preserve">Procedimientos de evaluación de la arquitectura candidata FNA (req. no funcionales)</w:t>
      </w:r>
    </w:p>
    <w:p>
      <w:pPr>
        <w:pStyle w:val="FirstParagraph"/>
      </w:pPr>
    </w:p>
    <w:bookmarkEnd w:id="139"/>
    <w:bookmarkStart w:id="140" w:name="criterios-de-aceptación-3"/>
    <w:p>
      <w:pPr>
        <w:pStyle w:val="Ttulo2"/>
      </w:pPr>
      <w:r>
        <w:t xml:space="preserve">Criterios de Aceptación</w:t>
      </w:r>
    </w:p>
    <w:p>
      <w:pPr>
        <w:numPr>
          <w:ilvl w:val="0"/>
          <w:numId w:val="1017"/>
        </w:numPr>
        <w:pStyle w:val="Compact"/>
      </w:pPr>
      <w:r>
        <w:t xml:space="preserve">Arquitectura de referencia SOA FNA, versión 2.0</w:t>
      </w:r>
    </w:p>
    <w:p>
      <w:pPr>
        <w:numPr>
          <w:ilvl w:val="0"/>
          <w:numId w:val="1017"/>
        </w:numPr>
        <w:pStyle w:val="Compact"/>
      </w:pPr>
      <w:r>
        <w:t xml:space="preserve">Articulación con gobierno SOA del FNA</w:t>
      </w:r>
    </w:p>
    <w:p>
      <w:r>
        <w:pict>
          <v:rect style="width:0;height:1.5pt" o:hralign="center" o:hrstd="t" o:hr="t"/>
        </w:pict>
      </w:r>
    </w:p>
    <w:bookmarkEnd w:id="140"/>
    <w:bookmarkEnd w:id="141"/>
    <w:bookmarkStart w:id="142" w:name="fase-2-soa-objetivo-1"/>
    <w:p>
      <w:pPr>
        <w:pStyle w:val="Ttulo1"/>
      </w:pPr>
      <w:r>
        <w:t xml:space="preserve">Fase 2: SOA Objetivo</w:t>
      </w:r>
    </w:p>
    <w:bookmarkEnd w:id="142"/>
    <w:bookmarkStart w:id="143" w:name="Xbe911d7c278a50d04b5b6b9edcb221ad80ef741"/>
    <w:p>
      <w:pPr>
        <w:pStyle w:val="Ttulo1"/>
      </w:pPr>
      <w:r>
        <w:t xml:space="preserve">Contenido de los Productos Contractuales, 181-2020</w:t>
      </w:r>
    </w:p>
    <w:bookmarkEnd w:id="143"/>
    <w:bookmarkStart w:id="148"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45" w:name="justificación-4"/>
    <w:p>
      <w:pPr>
        <w:pStyle w:val="Ttulo2"/>
      </w:pPr>
      <w:r>
        <w:t xml:space="preserve">Justificación</w:t>
      </w:r>
    </w:p>
    <w:p>
      <w:pPr>
        <w:pStyle w:val="FirstParagraph"/>
      </w:pPr>
      <w:r>
        <w:t xml:space="preserve">Asegurar que la arquitectura SOA del Fondo apegada a la</w:t>
      </w:r>
      <w:r>
        <w:t xml:space="preserve"> </w:t>
      </w:r>
      <w:hyperlink r:id="rId144">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145"/>
    <w:bookmarkStart w:id="146" w:name="contenidos-4"/>
    <w:p>
      <w:pPr>
        <w:pStyle w:val="Ttulo2"/>
      </w:pPr>
      <w:r>
        <w:t xml:space="preserve">Contenidos</w:t>
      </w:r>
    </w:p>
    <w:p>
      <w:pPr>
        <w:numPr>
          <w:ilvl w:val="0"/>
          <w:numId w:val="1018"/>
        </w:numPr>
        <w:pStyle w:val="Compact"/>
      </w:pPr>
      <w:r>
        <w:t xml:space="preserve">Arquitectura SOA candidata para el segmento FNA (vista de segmento)</w:t>
      </w:r>
    </w:p>
    <w:p>
      <w:pPr>
        <w:numPr>
          <w:ilvl w:val="0"/>
          <w:numId w:val="1018"/>
        </w:numPr>
        <w:pStyle w:val="Compact"/>
      </w:pPr>
      <w:r>
        <w:t xml:space="preserve">Matriz de brechas de las partes del segmento FNA</w:t>
      </w:r>
    </w:p>
    <w:p>
      <w:pPr>
        <w:numPr>
          <w:ilvl w:val="0"/>
          <w:numId w:val="1018"/>
        </w:numPr>
        <w:pStyle w:val="Compact"/>
      </w:pPr>
      <w:r>
        <w:t xml:space="preserve">Bloques de cambios para el segmento FNA: ítems por retener, rediseñar, actualizar, retirar</w:t>
      </w:r>
    </w:p>
    <w:p>
      <w:pPr>
        <w:numPr>
          <w:ilvl w:val="0"/>
          <w:numId w:val="1018"/>
        </w:numPr>
        <w:pStyle w:val="Compact"/>
      </w:pPr>
      <w:r>
        <w:t xml:space="preserve">Análisis de impacto y dependencia entre los cambios en el segmento de la empresa</w:t>
      </w:r>
    </w:p>
    <w:p>
      <w:pPr>
        <w:numPr>
          <w:ilvl w:val="0"/>
          <w:numId w:val="1018"/>
        </w:numPr>
        <w:pStyle w:val="Compact"/>
      </w:pPr>
      <w:r>
        <w:t xml:space="preserve">Ficha descriptiva de iniciativas de mejora para el segmento FNA (justificación)</w:t>
      </w:r>
    </w:p>
    <w:p>
      <w:pPr>
        <w:numPr>
          <w:ilvl w:val="0"/>
          <w:numId w:val="1018"/>
        </w:numPr>
        <w:pStyle w:val="Compact"/>
      </w:pPr>
      <w:r>
        <w:t xml:space="preserve">Hoja de ruta preliminar hacia un objetivo de mejora</w:t>
      </w:r>
    </w:p>
    <w:p>
      <w:pPr>
        <w:pStyle w:val="FirstParagraph"/>
      </w:pPr>
    </w:p>
    <w:bookmarkEnd w:id="146"/>
    <w:bookmarkStart w:id="147" w:name="criterios-de-aceptación-4"/>
    <w:p>
      <w:pPr>
        <w:pStyle w:val="Ttulo2"/>
      </w:pPr>
      <w:r>
        <w:t xml:space="preserve">Criterios de Aceptación</w:t>
      </w:r>
    </w:p>
    <w:p>
      <w:pPr>
        <w:numPr>
          <w:ilvl w:val="0"/>
          <w:numId w:val="1019"/>
        </w:numPr>
        <w:pStyle w:val="Compact"/>
      </w:pPr>
      <w:r>
        <w:t xml:space="preserve">Lista de cambios para el segmento FNA: ítems incluídos, por mejorar, nuevos y eliminados</w:t>
      </w:r>
    </w:p>
    <w:p>
      <w:pPr>
        <w:numPr>
          <w:ilvl w:val="0"/>
          <w:numId w:val="1019"/>
        </w:numPr>
        <w:pStyle w:val="Compact"/>
      </w:pPr>
      <w:r>
        <w:t xml:space="preserve">Hoja de ruta preliminar hacia un objetivo de mejora</w:t>
      </w:r>
    </w:p>
    <w:p>
      <w:r>
        <w:pict>
          <v:rect style="width:0;height:1.5pt" o:hralign="center" o:hrstd="t" o:hr="t"/>
        </w:pict>
      </w:r>
    </w:p>
    <w:bookmarkEnd w:id="147"/>
    <w:bookmarkEnd w:id="14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67" Target="media/rId67.png" /><Relationship Type="http://schemas.openxmlformats.org/officeDocument/2006/relationships/image" Id="rId94" Target="media/rId94.gif" /><Relationship Type="http://schemas.openxmlformats.org/officeDocument/2006/relationships/image" Id="rId107" Target="media/rId107.png" /><Relationship Type="http://schemas.openxmlformats.org/officeDocument/2006/relationships/image" Id="rId90" Target="media/rId90.png" /><Relationship Type="http://schemas.openxmlformats.org/officeDocument/2006/relationships/image" Id="rId116" Target="media/rId116.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112" Target="media/rId112.png" /><Relationship Type="http://schemas.openxmlformats.org/officeDocument/2006/relationships/image" Id="rId120" Target="media/rId120.png" /><Relationship Type="http://schemas.openxmlformats.org/officeDocument/2006/relationships/image" Id="rId99" Target="media/rId99.png" /><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19c9d018a8a294ad801a3183f339863a9cf79537" TargetMode="External" /><Relationship Type="http://schemas.openxmlformats.org/officeDocument/2006/relationships/hyperlink" Id="rId20" Target="https://hwong23.github.io/fna-devdocs-f2/v/19c9d018a8a294ad801a3183f339863a9cf79537/"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44"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19c9d018a8a294ad801a3183f339863a9cf79537" TargetMode="External" /><Relationship Type="http://schemas.openxmlformats.org/officeDocument/2006/relationships/hyperlink" Id="rId20" Target="https://hwong23.github.io/fna-devdocs-f2/v/19c9d018a8a294ad801a3183f339863a9cf79537/"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44"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2023-01-31T12:00:29Z</dcterms:created>
  <dcterms:modified xsi:type="dcterms:W3CDTF">2023-01-31T12:00:29Z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