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4.png" ContentType="image/png"/>
  <Override PartName="/word/media/rId81.png" ContentType="image/png"/>
  <Override PartName="/word/media/rId75.png" ContentType="image/png"/>
  <Override PartName="/word/media/rId71.png" ContentType="image/png"/>
  <Override PartName="/word/media/rId66.png" ContentType="image/png"/>
  <Override PartName="/word/media/rId92.gif" ContentType="image/gif"/>
  <Override PartName="/word/media/rId88.png" ContentType="image/png"/>
  <Override PartName="/word/media/rId7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hyperlink r:id="rId21">
        <w:r>
          <w:rPr>
            <w:rStyle w:val="Hipervnculo"/>
          </w:rPr>
          <w:t xml:space="preserve">238baf1</w:t>
        </w:r>
      </w:hyperlink>
      <w:r>
        <w:t xml:space="preserve"> </w:t>
      </w:r>
      <w:r>
        <w:t xml:space="preserve">on January 31, 2023.</w:t>
      </w:r>
    </w:p>
    <w:bookmarkStart w:id="25" w:name="grupo-e-service"/>
    <w:p>
      <w:pPr>
        <w:pStyle w:val="Ttulo2"/>
      </w:pPr>
      <w:r>
        <w:t xml:space="preserve">Grupo E-Service</w:t>
      </w:r>
    </w:p>
    <w:p>
      <w:pPr>
        <w:numPr>
          <w:ilvl w:val="0"/>
          <w:numId w:val="1001"/>
        </w:numPr>
      </w:pPr>
      <w:r>
        <w:rPr>
          <w:bCs/>
          <w:b/>
        </w:rPr>
        <w:t xml:space="preserve">Harry Wong</w:t>
      </w:r>
      <w:r>
        <w:t xml:space="preserve"> </w:t>
      </w:r>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w:t>
      </w:r>
      <w:r>
        <w:t xml:space="preserve"> </w:t>
      </w:r>
      <w:r>
        <w:t xml:space="preserve">Twitter icon</w:t>
      </w:r>
      <w:r>
        <w:t xml:space="preserve"> </w:t>
      </w:r>
      <w:hyperlink r:id="rId24">
        <w:r>
          <w:rPr>
            <w:rStyle w:val="Hipervnculo"/>
          </w:rPr>
          <w:t xml:space="preserve">johndoe</w:t>
        </w:r>
      </w:hyperlink>
      <w:r>
        <w:t xml:space="preserve"> </w:t>
      </w:r>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Cs/>
          <w:b/>
        </w:rPr>
        <w:t xml:space="preserve">Stefanini.com</w:t>
      </w:r>
      <w:r>
        <w:t xml:space="preserve"> </w:t>
      </w:r>
      <w:hyperlink w:anchor="correspondence">
        <w:r>
          <w:rPr>
            <w:rStyle w:val="Hipervnculo"/>
            <w:vertAlign w:val="superscript"/>
          </w:rPr>
          <w:t xml:space="preserve">✉</w:t>
        </w:r>
      </w:hyperlink>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 </w:t>
      </w:r>
      <w:r>
        <w:t xml:space="preserve"> </w:t>
      </w:r>
      <w:r>
        <w:t xml:space="preserve">Department of Something, University of Whatever; Department of Whatever, University of Something</w:t>
      </w:r>
      <w:r>
        <w:t xml:space="preserve"> </w:t>
      </w:r>
    </w:p>
    <w:p>
      <w:r>
        <w:pict>
          <v:rect style="width:0;height:1.5pt" o:hralign="center" o:hrstd="t" o:hr="t"/>
        </w:pict>
      </w:r>
    </w:p>
    <w:bookmarkEnd w:id="25"/>
    <w:bookmarkStart w:id="26" w:name="fase-2-soa-objetivo-fna"/>
    <w:p>
      <w:pPr>
        <w:pStyle w:val="Ttulo1"/>
      </w:pPr>
      <w:r>
        <w:t xml:space="preserve">Fase 2: SOA Objetivo FNA</w:t>
      </w:r>
    </w:p>
    <w:bookmarkEnd w:id="26"/>
    <w:bookmarkStart w:id="27" w:name="Xde28353806a99316a61e306cd812fd556109b6d"/>
    <w:p>
      <w:pPr>
        <w:pStyle w:val="Ttulo1"/>
      </w:pPr>
      <w:r>
        <w:t xml:space="preserve">Contenido de los Productos Contractuales, 181-2020</w:t>
      </w:r>
    </w:p>
    <w:p>
      <w:pPr>
        <w:pStyle w:val="FirstParagraph"/>
      </w:pPr>
    </w:p>
    <w:bookmarkEnd w:id="27"/>
    <w:bookmarkStart w:id="32"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8"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8"/>
    <w:bookmarkStart w:id="29" w:name="contenidos"/>
    <w:p>
      <w:pPr>
        <w:pStyle w:val="Ttulo2"/>
      </w:pPr>
      <w:r>
        <w:t xml:space="preserve">Contenidos</w:t>
      </w:r>
    </w:p>
    <w:p>
      <w:pPr>
        <w:numPr>
          <w:ilvl w:val="0"/>
          <w:numId w:val="1002"/>
        </w:numPr>
        <w:pStyle w:val="Compact"/>
      </w:pPr>
      <w:r>
        <w:t xml:space="preserve">Arquitectura SOA</w:t>
      </w:r>
    </w:p>
    <w:p>
      <w:pPr>
        <w:numPr>
          <w:ilvl w:val="0"/>
          <w:numId w:val="1002"/>
        </w:numPr>
        <w:pStyle w:val="Compact"/>
      </w:pPr>
      <w:r>
        <w:t xml:space="preserve">Portafolio de servicios</w:t>
      </w:r>
    </w:p>
    <w:p>
      <w:pPr>
        <w:numPr>
          <w:ilvl w:val="0"/>
          <w:numId w:val="1002"/>
        </w:numPr>
        <w:pStyle w:val="Compact"/>
      </w:pPr>
      <w:r>
        <w:t xml:space="preserve">Gobierno SOA</w:t>
      </w:r>
    </w:p>
    <w:p>
      <w:pPr>
        <w:numPr>
          <w:ilvl w:val="0"/>
          <w:numId w:val="1002"/>
        </w:numPr>
        <w:pStyle w:val="Compact"/>
      </w:pPr>
      <w:r>
        <w:t xml:space="preserve">Versionamiento de servicios</w:t>
      </w:r>
    </w:p>
    <w:p>
      <w:pPr>
        <w:numPr>
          <w:ilvl w:val="0"/>
          <w:numId w:val="1002"/>
        </w:numPr>
        <w:pStyle w:val="Compact"/>
      </w:pPr>
      <w:r>
        <w:t xml:space="preserve">Monitoreo y operación SOA</w:t>
      </w:r>
    </w:p>
    <w:p>
      <w:pPr>
        <w:numPr>
          <w:ilvl w:val="0"/>
          <w:numId w:val="1002"/>
        </w:numPr>
        <w:pStyle w:val="Compact"/>
      </w:pPr>
      <w:r>
        <w:t xml:space="preserve">Mantenimiento y evolución de servicios</w:t>
      </w:r>
    </w:p>
    <w:p>
      <w:pPr>
        <w:numPr>
          <w:ilvl w:val="0"/>
          <w:numId w:val="1002"/>
        </w:numPr>
        <w:pStyle w:val="Compact"/>
      </w:pPr>
      <w:r>
        <w:t xml:space="preserve">Nuevas tecnologías</w:t>
      </w:r>
    </w:p>
    <w:p>
      <w:pPr>
        <w:pStyle w:val="FirstParagraph"/>
      </w:pPr>
    </w:p>
    <w:bookmarkEnd w:id="29"/>
    <w:bookmarkStart w:id="31" w:name="criterios-de-aceptación"/>
    <w:p>
      <w:pPr>
        <w:pStyle w:val="Ttulo2"/>
      </w:pPr>
      <w:r>
        <w:t xml:space="preserve">Criterios de Aceptación</w:t>
      </w:r>
    </w:p>
    <w:p>
      <w:pPr>
        <w:numPr>
          <w:ilvl w:val="0"/>
          <w:numId w:val="1003"/>
        </w:numPr>
        <w:pStyle w:val="Compact"/>
      </w:pPr>
      <w:r>
        <w:t xml:space="preserve">Lista de oportunidades e iniciativas ralizables por el FNA</w:t>
      </w:r>
    </w:p>
    <w:p>
      <w:pPr>
        <w:numPr>
          <w:ilvl w:val="0"/>
          <w:numId w:val="1003"/>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238baf1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31"/>
    <w:bookmarkEnd w:id="32"/>
    <w:bookmarkStart w:id="61"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4"/>
        </w:numPr>
        <w:pStyle w:val="Compact"/>
      </w:pPr>
      <w:r>
        <w:t xml:space="preserve">Arquitectura SOA</w:t>
      </w:r>
    </w:p>
    <w:p>
      <w:pPr>
        <w:numPr>
          <w:ilvl w:val="0"/>
          <w:numId w:val="1004"/>
        </w:numPr>
        <w:pStyle w:val="Compact"/>
      </w:pPr>
      <w:r>
        <w:t xml:space="preserve">Portafolio de Servicios</w:t>
      </w:r>
    </w:p>
    <w:p>
      <w:pPr>
        <w:numPr>
          <w:ilvl w:val="0"/>
          <w:numId w:val="1004"/>
        </w:numPr>
        <w:pStyle w:val="Compact"/>
      </w:pPr>
      <w:r>
        <w:t xml:space="preserve">Gobierno SOA</w:t>
      </w:r>
    </w:p>
    <w:p>
      <w:pPr>
        <w:numPr>
          <w:ilvl w:val="0"/>
          <w:numId w:val="1004"/>
        </w:numPr>
        <w:pStyle w:val="Compact"/>
      </w:pPr>
      <w:r>
        <w:t xml:space="preserve">Estrategia de Versionamiento</w:t>
      </w:r>
    </w:p>
    <w:p>
      <w:pPr>
        <w:numPr>
          <w:ilvl w:val="0"/>
          <w:numId w:val="1004"/>
        </w:numPr>
        <w:pStyle w:val="Compact"/>
      </w:pPr>
      <w:r>
        <w:t xml:space="preserve">Monitoreo y Operación</w:t>
      </w:r>
    </w:p>
    <w:p>
      <w:pPr>
        <w:numPr>
          <w:ilvl w:val="0"/>
          <w:numId w:val="1004"/>
        </w:numPr>
        <w:pStyle w:val="Compact"/>
      </w:pPr>
      <w:r>
        <w:t xml:space="preserve">Mantenimiento y Evolución</w:t>
      </w:r>
    </w:p>
    <w:p>
      <w:pPr>
        <w:numPr>
          <w:ilvl w:val="0"/>
          <w:numId w:val="1004"/>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6" w:name="arquitectura-soa"/>
    <w:p>
      <w:pPr>
        <w:pStyle w:val="Ttulo2"/>
      </w:pPr>
      <w:r>
        <w:t xml:space="preserve">Arquitectura SOA</w:t>
      </w:r>
    </w:p>
    <w:bookmarkStart w:id="33"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33"/>
    <w:bookmarkStart w:id="34"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34"/>
    <w:bookmarkStart w:id="35"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35"/>
    <w:bookmarkEnd w:id="36"/>
    <w:bookmarkStart w:id="40" w:name="portafolio-de-servicios"/>
    <w:p>
      <w:pPr>
        <w:pStyle w:val="Ttulo2"/>
      </w:pPr>
      <w:r>
        <w:t xml:space="preserve">Portafolio de Servicios</w:t>
      </w:r>
    </w:p>
    <w:bookmarkStart w:id="37"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7"/>
    <w:bookmarkStart w:id="38"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8"/>
    <w:bookmarkStart w:id="39"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9"/>
    <w:bookmarkEnd w:id="40"/>
    <w:bookmarkStart w:id="44" w:name="gobierno-soa"/>
    <w:p>
      <w:pPr>
        <w:pStyle w:val="Ttulo2"/>
      </w:pPr>
      <w:r>
        <w:t xml:space="preserve">Gobierno SOA</w:t>
      </w:r>
    </w:p>
    <w:bookmarkStart w:id="41"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41"/>
    <w:bookmarkStart w:id="42"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42"/>
    <w:bookmarkStart w:id="43"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43"/>
    <w:bookmarkEnd w:id="44"/>
    <w:bookmarkStart w:id="48" w:name="estrategia-de-versionamiento"/>
    <w:p>
      <w:pPr>
        <w:pStyle w:val="Ttulo2"/>
      </w:pPr>
      <w:r>
        <w:t xml:space="preserve">Estrategia de Versionamiento</w:t>
      </w:r>
    </w:p>
    <w:bookmarkStart w:id="45"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45"/>
    <w:bookmarkStart w:id="46"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6"/>
    <w:bookmarkStart w:id="47"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7"/>
    <w:bookmarkEnd w:id="48"/>
    <w:bookmarkStart w:id="52" w:name="monitoreo-y-operación"/>
    <w:p>
      <w:pPr>
        <w:pStyle w:val="Ttulo2"/>
      </w:pPr>
      <w:r>
        <w:t xml:space="preserve">Monitoreo y Operación</w:t>
      </w:r>
    </w:p>
    <w:bookmarkStart w:id="49"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9"/>
    <w:bookmarkStart w:id="50"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50"/>
    <w:bookmarkStart w:id="51"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51"/>
    <w:bookmarkEnd w:id="52"/>
    <w:bookmarkStart w:id="56" w:name="mantenimiento-y-evolución"/>
    <w:p>
      <w:pPr>
        <w:pStyle w:val="Ttulo2"/>
      </w:pPr>
      <w:r>
        <w:t xml:space="preserve">Mantenimiento y Evolución</w:t>
      </w:r>
    </w:p>
    <w:bookmarkStart w:id="53"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53"/>
    <w:bookmarkStart w:id="54"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54"/>
    <w:bookmarkStart w:id="55"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55"/>
    <w:bookmarkEnd w:id="56"/>
    <w:bookmarkStart w:id="60" w:name="nuevas-tecnologías"/>
    <w:p>
      <w:pPr>
        <w:pStyle w:val="Ttulo2"/>
      </w:pPr>
      <w:r>
        <w:t xml:space="preserve">Nuevas tecnologías</w:t>
      </w:r>
    </w:p>
    <w:bookmarkStart w:id="57"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7"/>
    <w:bookmarkStart w:id="58"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8"/>
    <w:bookmarkStart w:id="59"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9"/>
    <w:bookmarkEnd w:id="60"/>
    <w:bookmarkEnd w:id="61"/>
    <w:bookmarkStart w:id="62" w:name="fase-2-soa-objetivo-fna-1"/>
    <w:p>
      <w:pPr>
        <w:pStyle w:val="Ttulo1"/>
      </w:pPr>
      <w:r>
        <w:t xml:space="preserve">Fase 2: SOA Objetivo FNA</w:t>
      </w:r>
    </w:p>
    <w:bookmarkEnd w:id="62"/>
    <w:bookmarkStart w:id="63" w:name="X5c0c69e660e78a6abcb50f83e9ffaa519594cea"/>
    <w:p>
      <w:pPr>
        <w:pStyle w:val="Ttulo1"/>
      </w:pPr>
      <w:r>
        <w:t xml:space="preserve">Contenido de los Productos Contractuales, 181-2020</w:t>
      </w:r>
    </w:p>
    <w:bookmarkEnd w:id="63"/>
    <w:bookmarkStart w:id="99"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64"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64"/>
    <w:bookmarkStart w:id="65" w:name="contenidos-1"/>
    <w:p>
      <w:pPr>
        <w:pStyle w:val="Ttulo2"/>
      </w:pPr>
      <w:r>
        <w:t xml:space="preserve">Contenidos</w:t>
      </w:r>
    </w:p>
    <w:p>
      <w:pPr>
        <w:numPr>
          <w:ilvl w:val="0"/>
          <w:numId w:val="1005"/>
        </w:numPr>
        <w:pStyle w:val="Compact"/>
      </w:pPr>
      <w:r>
        <w:t xml:space="preserve">Definición de objetivos y capacidades del gobierno SOA</w:t>
      </w:r>
    </w:p>
    <w:p>
      <w:pPr>
        <w:numPr>
          <w:ilvl w:val="0"/>
          <w:numId w:val="1005"/>
        </w:numPr>
        <w:pStyle w:val="Compact"/>
      </w:pPr>
      <w:r>
        <w:t xml:space="preserve">Equilibrio arquitectura y procesos SOA</w:t>
      </w:r>
    </w:p>
    <w:p>
      <w:pPr>
        <w:numPr>
          <w:ilvl w:val="0"/>
          <w:numId w:val="1005"/>
        </w:numPr>
        <w:pStyle w:val="Compact"/>
      </w:pPr>
      <w:r>
        <w:t xml:space="preserve">Supervisión de efectividad y factibilidad SOA</w:t>
      </w:r>
    </w:p>
    <w:p>
      <w:pPr>
        <w:numPr>
          <w:ilvl w:val="0"/>
          <w:numId w:val="1005"/>
        </w:numPr>
        <w:pStyle w:val="Compact"/>
      </w:pPr>
      <w:r>
        <w:t xml:space="preserve">Mejora de los índices de efectividad (madurez) SOA</w:t>
      </w:r>
    </w:p>
    <w:p>
      <w:pPr>
        <w:numPr>
          <w:ilvl w:val="0"/>
          <w:numId w:val="1005"/>
        </w:numPr>
        <w:pStyle w:val="Compact"/>
      </w:pPr>
      <w:r>
        <w:t xml:space="preserve">Consideraciones para la puesta en marcha del gobierno SOA en el fna</w:t>
      </w:r>
    </w:p>
    <w:p>
      <w:pPr>
        <w:pStyle w:val="FirstParagraph"/>
      </w:pPr>
    </w:p>
    <w:bookmarkEnd w:id="65"/>
    <w:bookmarkStart w:id="96" w:name="criterios-de-aceptación-1"/>
    <w:p>
      <w:pPr>
        <w:pStyle w:val="Ttulo2"/>
      </w:pPr>
      <w:r>
        <w:t xml:space="preserve">Criterios de Aceptación</w:t>
      </w:r>
    </w:p>
    <w:p>
      <w:pPr>
        <w:numPr>
          <w:ilvl w:val="0"/>
          <w:numId w:val="1006"/>
        </w:numPr>
        <w:pStyle w:val="Compact"/>
      </w:pPr>
      <w:r>
        <w:t xml:space="preserve">Objetivos y capacidades del gobierno SOA para el Fondo</w:t>
      </w:r>
    </w:p>
    <w:p>
      <w:pPr>
        <w:numPr>
          <w:ilvl w:val="0"/>
          <w:numId w:val="1006"/>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238baf1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p>
      <w:pPr>
        <w:pStyle w:val="Textoindependiente"/>
      </w:pPr>
      <w:r>
        <w:t xml:space="preserve">Dado los niveles de complejidad que el FNA ha alcanzado y por los riesgos tecnológico que contraen las partes analizadas en la Fase 1 de este diagnóstico (ver</w:t>
      </w:r>
      <w:r>
        <w:t xml:space="preserve"> </w:t>
      </w:r>
      <w:hyperlink r:id="rId30">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30">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30">
        <w:r>
          <w:rPr>
            <w:rStyle w:val="Hipervnculo"/>
          </w:rPr>
          <w:t xml:space="preserve">04b.Resumen Fase 1</w:t>
        </w:r>
      </w:hyperlink>
      <w:r>
        <w:t xml:space="preserve">).</w:t>
      </w:r>
    </w:p>
    <w:p>
      <w:pPr>
        <w:pStyle w:val="Textoindependiente"/>
      </w:pPr>
    </w:p>
    <w:bookmarkStart w:id="70" w:name="X282ab52329bc258ea6e6b7c6fb425c5efc1682d"/>
    <w:p>
      <w:pPr>
        <w:pStyle w:val="Ttulo3"/>
      </w:pPr>
      <w:r>
        <w:t xml:space="preserve">Objetivos Principales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7" name="Picture"/>
            <a:graphic>
              <a:graphicData uri="http://schemas.openxmlformats.org/drawingml/2006/picture">
                <pic:pic>
                  <pic:nvPicPr>
                    <pic:cNvPr descr="images/GobiernoSOA.3n.png" id="68" name="Picture"/>
                    <pic:cNvPicPr>
                      <a:picLocks noChangeArrowheads="1" noChangeAspect="1"/>
                    </pic:cNvPicPr>
                  </pic:nvPicPr>
                  <pic:blipFill>
                    <a:blip r:embed="rId66"/>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69">
        <w:r>
          <w:rPr>
            <w:rStyle w:val="Hipervnculo"/>
          </w:rPr>
          <w:t xml:space="preserve">Imagen.</w:t>
        </w:r>
      </w:hyperlink>
      <w:r>
        <w:t xml:space="preserve"> </w:t>
      </w:r>
      <w:r>
        <w:t xml:space="preserve">Objetivos principales del gobierno SOA del FNA.</w:t>
      </w:r>
    </w:p>
    <w:p>
      <w:pPr>
        <w:pStyle w:val="Textoindependiente"/>
      </w:pPr>
      <w:r>
        <w:rPr>
          <w:iCs/>
          <w:i/>
        </w:rPr>
        <w:t xml:space="preserve">Fuente: elaboración propia.</w:t>
      </w:r>
    </w:p>
    <w:p>
      <w:pPr>
        <w:pStyle w:val="Textoindependiente"/>
      </w:pPr>
    </w:p>
    <w:p>
      <w:pPr>
        <w:numPr>
          <w:ilvl w:val="0"/>
          <w:numId w:val="1007"/>
        </w:numPr>
        <w:pStyle w:val="Compact"/>
      </w:pPr>
      <w:r>
        <w:t xml:space="preserve">Vigilancia del riesgo tecnológico en tres vías. Primero, hacer seguimiento a la inversión tecnológica, el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numPr>
          <w:ilvl w:val="0"/>
          <w:numId w:val="1007"/>
        </w:numPr>
        <w:pStyle w:val="Compact"/>
      </w:pPr>
      <w:r>
        <w:t xml:space="preserve">Del objetivo anterior (Vigilancia del riesgo tecnológico) se desprende este para enfatizar el control sobre la inversión de TI: vigilar la efectividad y factibilidad de los proyectos SOA de la organización en términos del área de efectividad del costo y factibilidad SOA. Ambos conceptos explicados en</w:t>
      </w:r>
      <w:r>
        <w:t xml:space="preserve"> </w:t>
      </w:r>
      <w:hyperlink r:id="rId30">
        <w:r>
          <w:rPr>
            <w:rStyle w:val="Hipervnculo"/>
          </w:rPr>
          <w:t xml:space="preserve">Supervisión de efectividad y factibilidad SOA</w:t>
        </w:r>
      </w:hyperlink>
      <w:r>
        <w:t xml:space="preserve">.</w:t>
      </w:r>
    </w:p>
    <w:p>
      <w:pPr>
        <w:numPr>
          <w:ilvl w:val="0"/>
          <w:numId w:val="1007"/>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7"/>
        </w:numPr>
        <w:pStyle w:val="Compact"/>
      </w:pPr>
      <w:r>
        <w:t xml:space="preserve">Vigilar y perseguir el aumento de los índices de adopción, adaptación y efectividad SOA presentes en los análisis de madurez como el realizado en la Fase 1 del diagnóstico presente (ver</w:t>
      </w:r>
      <w:r>
        <w:t xml:space="preserve"> </w:t>
      </w:r>
      <w:hyperlink r:id="rId30">
        <w:r>
          <w:rPr>
            <w:rStyle w:val="Hipervnculo"/>
          </w:rPr>
          <w:t xml:space="preserve">02.Fase 2 PR2 Estudio Madurez SOA FNA</w:t>
        </w:r>
      </w:hyperlink>
      <w:r>
        <w:t xml:space="preserve">).</w:t>
      </w:r>
    </w:p>
    <w:p>
      <w:pPr>
        <w:numPr>
          <w:ilvl w:val="0"/>
          <w:numId w:val="1007"/>
        </w:numPr>
        <w:pStyle w:val="Compact"/>
      </w:pPr>
      <w:r>
        <w:t xml:space="preserve">Poner el marcha el proceso de gobierno SOA del FNA descrito más adelante en este ejercicio (181-2020). Adaptar y monitorear los índices de rendimiento (KPI) del proceso.</w:t>
      </w:r>
    </w:p>
    <w:p>
      <w:pPr>
        <w:pStyle w:val="FirstParagraph"/>
      </w:pPr>
    </w:p>
    <w:bookmarkEnd w:id="70"/>
    <w:bookmarkStart w:id="74" w:name="otros-objetivos-del-gobierno-soa"/>
    <w:p>
      <w:pPr>
        <w:pStyle w:val="Ttulo3"/>
      </w:pPr>
      <w:r>
        <w:t xml:space="preserve">Otros Objetivos del Gobierno SOA</w:t>
      </w:r>
    </w:p>
    <w:p>
      <w:pPr>
        <w:pStyle w:val="FirstParagraph"/>
      </w:pPr>
      <w:r>
        <w:t xml:space="preserve">Para complementar la lista de objetivos del gobierno SOA recomendados por este diagnóstico al Fondo, la lista siguiente expone objetivos que pueden ser conseguidos de forma indirecta, o con la mediación de proyectos transformadores, como la Arquitectura Empresarial, transformación digital, arquitectura de negocio, entre otros.</w:t>
      </w:r>
    </w:p>
    <w:p>
      <w:pPr>
        <w:numPr>
          <w:ilvl w:val="0"/>
          <w:numId w:val="1008"/>
        </w:numPr>
        <w:pStyle w:val="Compact"/>
      </w:pPr>
      <w:r>
        <w:t xml:space="preserve">Desde el área, o rol, de gobierno SOA del FNA, servir de guía en la entrega de soluciones de software conforme a la arquitectura de referencia estregada por esta consultoría.</w:t>
      </w:r>
    </w:p>
    <w:p>
      <w:pPr>
        <w:numPr>
          <w:ilvl w:val="0"/>
          <w:numId w:val="1008"/>
        </w:numPr>
        <w:pStyle w:val="Compact"/>
      </w:pPr>
      <w:r>
        <w:t xml:space="preserve">Informar de desviaciones en la relación de efectividad de costos de los proyectos SOA del FNA (en términos del área de inefectividad de costo e infactibilidad SOA.</w:t>
      </w:r>
    </w:p>
    <w:p>
      <w:pPr>
        <w:numPr>
          <w:ilvl w:val="0"/>
          <w:numId w:val="1008"/>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drawing>
          <wp:inline>
            <wp:extent cx="5600700" cy="4177941"/>
            <wp:effectExtent b="0" l="0" r="0" t="0"/>
            <wp:docPr descr="" title="" id="72" name="Picture"/>
            <a:graphic>
              <a:graphicData uri="http://schemas.openxmlformats.org/drawingml/2006/picture">
                <pic:pic>
                  <pic:nvPicPr>
                    <pic:cNvPr descr="images/GobiernoSOA.3n-2.png" id="73" name="Picture"/>
                    <pic:cNvPicPr>
                      <a:picLocks noChangeArrowheads="1" noChangeAspect="1"/>
                    </pic:cNvPicPr>
                  </pic:nvPicPr>
                  <pic:blipFill>
                    <a:blip r:embed="rId71"/>
                    <a:stretch>
                      <a:fillRect/>
                    </a:stretch>
                  </pic:blipFill>
                  <pic:spPr bwMode="auto">
                    <a:xfrm>
                      <a:off x="0" y="0"/>
                      <a:ext cx="5600700" cy="4177941"/>
                    </a:xfrm>
                    <a:prstGeom prst="rect">
                      <a:avLst/>
                    </a:prstGeom>
                    <a:noFill/>
                    <a:ln w="9525">
                      <a:noFill/>
                      <a:headEnd/>
                      <a:tailEnd/>
                    </a:ln>
                  </pic:spPr>
                </pic:pic>
              </a:graphicData>
            </a:graphic>
          </wp:inline>
        </w:drawing>
      </w:r>
      <w:r>
        <w:t xml:space="preserve"> </w:t>
      </w:r>
      <w:hyperlink r:id="rId69">
        <w:r>
          <w:rPr>
            <w:rStyle w:val="Hipervnculo"/>
          </w:rPr>
          <w:t xml:space="preserve">Imagen.</w:t>
        </w:r>
      </w:hyperlink>
      <w:r>
        <w:t xml:space="preserve"> </w:t>
      </w:r>
      <w:r>
        <w:t xml:space="preserve">Objetivos secundarios del gobierno SOA del FNA.</w:t>
      </w:r>
    </w:p>
    <w:p>
      <w:pPr>
        <w:pStyle w:val="Textoindependiente"/>
      </w:pPr>
      <w:r>
        <w:rPr>
          <w:iCs/>
          <w:i/>
        </w:rPr>
        <w:t xml:space="preserve">Fuente: elaboración propia.</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238baf1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p>
      <w:pPr>
        <w:pStyle w:val="Textoindependiente"/>
      </w:pPr>
      <w:r>
        <w:t xml:space="preserve">Los riesgos tecnológicos encontrados en el diagnóstco SOA de Fase 1 (ver</w:t>
      </w:r>
      <w:r>
        <w:t xml:space="preserve"> </w:t>
      </w:r>
      <w:hyperlink r:id="rId30">
        <w:r>
          <w:rPr>
            <w:rStyle w:val="Hipervnculo"/>
          </w:rPr>
          <w:t xml:space="preserve">03.Fase 1 PR3 Resultado Diagnóstico Situación Actual</w:t>
        </w:r>
      </w:hyperlink>
      <w:r>
        <w:t xml:space="preserve">), y que describimos abajo, están incorporados a las vigilancias del gobierno SOA propuesto. A la vez, estos mismo riesgos descritos a continuación deben ser agregados a la matriz de gestión actual del Fondo, y gestionados por los métodos propios con los que ya cuenta el FNA.</w:t>
      </w:r>
    </w:p>
    <w:p>
      <w:pPr>
        <w:pStyle w:val="Textoindependiente"/>
      </w:pPr>
    </w:p>
    <w:bookmarkEnd w:id="74"/>
    <w:bookmarkStart w:id="87" w:name="X5ac0eb2d86a56156ddf39b74510b8acc3c8c1b9"/>
    <w:p>
      <w:pPr>
        <w:pStyle w:val="Ttulo3"/>
      </w:pPr>
      <w:r>
        <w:t xml:space="preserve">Riesgos Tecnológicos del Gobierno SOA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 (ver imagen 3)</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aplicaciones silos</w:t>
      </w:r>
    </w:p>
    <w:p>
      <w:pPr>
        <w:numPr>
          <w:ilvl w:val="0"/>
          <w:numId w:val="1009"/>
        </w:numPr>
        <w:pStyle w:val="Compact"/>
      </w:pPr>
      <w:r>
        <w:t xml:space="preserve">R7. Riesgo de falta de trazabilidad para la evolución e implementación de los servicios SOA</w:t>
      </w:r>
    </w:p>
    <w:p>
      <w:pPr>
        <w:pStyle w:val="FirstParagraph"/>
      </w:pPr>
    </w:p>
    <w:p>
      <w:pPr>
        <w:pStyle w:val="Figure"/>
      </w:pPr>
      <w:r>
        <w:drawing>
          <wp:inline>
            <wp:extent cx="5600700" cy="2605986"/>
            <wp:effectExtent b="0" l="0" r="0" t="0"/>
            <wp:docPr descr="" title="" id="76" name="Picture"/>
            <a:graphic>
              <a:graphicData uri="http://schemas.openxmlformats.org/drawingml/2006/picture">
                <pic:pic>
                  <pic:nvPicPr>
                    <pic:cNvPr descr="images/ESB-IBM.png" id="77" name="Picture"/>
                    <pic:cNvPicPr>
                      <a:picLocks noChangeArrowheads="1" noChangeAspect="1"/>
                    </pic:cNvPicPr>
                  </pic:nvPicPr>
                  <pic:blipFill>
                    <a:blip r:embed="rId75"/>
                    <a:stretch>
                      <a:fillRect/>
                    </a:stretch>
                  </pic:blipFill>
                  <pic:spPr bwMode="auto">
                    <a:xfrm>
                      <a:off x="0" y="0"/>
                      <a:ext cx="5600700" cy="2605986"/>
                    </a:xfrm>
                    <a:prstGeom prst="rect">
                      <a:avLst/>
                    </a:prstGeom>
                    <a:noFill/>
                    <a:ln w="9525">
                      <a:noFill/>
                      <a:headEnd/>
                      <a:tailEnd/>
                    </a:ln>
                  </pic:spPr>
                </pic:pic>
              </a:graphicData>
            </a:graphic>
          </wp:inline>
        </w:drawing>
      </w:r>
    </w:p>
    <w:p>
      <w:pPr>
        <w:pStyle w:val="FirstParagraph"/>
      </w:pPr>
      <w:hyperlink r:id="rId69">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Figure"/>
      </w:pPr>
      <w:r>
        <w:drawing>
          <wp:inline>
            <wp:extent cx="5600700" cy="3464205"/>
            <wp:effectExtent b="0" l="0" r="0" t="0"/>
            <wp:docPr descr="" title="" id="79" name="Picture"/>
            <a:graphic>
              <a:graphicData uri="http://schemas.openxmlformats.org/drawingml/2006/picture">
                <pic:pic>
                  <pic:nvPicPr>
                    <pic:cNvPr descr="images/esb-procesos.png" id="80" name="Picture"/>
                    <pic:cNvPicPr>
                      <a:picLocks noChangeArrowheads="1" noChangeAspect="1"/>
                    </pic:cNvPicPr>
                  </pic:nvPicPr>
                  <pic:blipFill>
                    <a:blip r:embed="rId78"/>
                    <a:stretch>
                      <a:fillRect/>
                    </a:stretch>
                  </pic:blipFill>
                  <pic:spPr bwMode="auto">
                    <a:xfrm>
                      <a:off x="0" y="0"/>
                      <a:ext cx="5600700" cy="3464205"/>
                    </a:xfrm>
                    <a:prstGeom prst="rect">
                      <a:avLst/>
                    </a:prstGeom>
                    <a:noFill/>
                    <a:ln w="9525">
                      <a:noFill/>
                      <a:headEnd/>
                      <a:tailEnd/>
                    </a:ln>
                  </pic:spPr>
                </pic:pic>
              </a:graphicData>
            </a:graphic>
          </wp:inline>
        </w:drawing>
      </w:r>
    </w:p>
    <w:p>
      <w:pPr>
        <w:pStyle w:val="FirstParagraph"/>
      </w:pPr>
      <w:hyperlink r:id="rId69">
        <w:r>
          <w:rPr>
            <w:rStyle w:val="Hipervnculo"/>
          </w:rPr>
          <w:t xml:space="preserve">Imagen 2a.</w:t>
        </w:r>
      </w:hyperlink>
      <w:r>
        <w:t xml:space="preserve"> </w:t>
      </w: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Figure"/>
      </w:pPr>
      <w:r>
        <w:drawing>
          <wp:inline>
            <wp:extent cx="5600700" cy="2872523"/>
            <wp:effectExtent b="0" l="0" r="0" t="0"/>
            <wp:docPr descr="" title="" id="82" name="Picture"/>
            <a:graphic>
              <a:graphicData uri="http://schemas.openxmlformats.org/drawingml/2006/picture">
                <pic:pic>
                  <pic:nvPicPr>
                    <pic:cNvPr descr="images/ESB-IBM-2.png" id="83" name="Picture"/>
                    <pic:cNvPicPr>
                      <a:picLocks noChangeArrowheads="1" noChangeAspect="1"/>
                    </pic:cNvPicPr>
                  </pic:nvPicPr>
                  <pic:blipFill>
                    <a:blip r:embed="rId81"/>
                    <a:stretch>
                      <a:fillRect/>
                    </a:stretch>
                  </pic:blipFill>
                  <pic:spPr bwMode="auto">
                    <a:xfrm>
                      <a:off x="0" y="0"/>
                      <a:ext cx="5600700" cy="2872523"/>
                    </a:xfrm>
                    <a:prstGeom prst="rect">
                      <a:avLst/>
                    </a:prstGeom>
                    <a:noFill/>
                    <a:ln w="9525">
                      <a:noFill/>
                      <a:headEnd/>
                      <a:tailEnd/>
                    </a:ln>
                  </pic:spPr>
                </pic:pic>
              </a:graphicData>
            </a:graphic>
          </wp:inline>
        </w:drawing>
      </w:r>
    </w:p>
    <w:p>
      <w:pPr>
        <w:pStyle w:val="FirstParagraph"/>
      </w:pPr>
      <w:hyperlink r:id="rId69">
        <w:r>
          <w:rPr>
            <w:rStyle w:val="Hipervnculo"/>
          </w:rPr>
          <w:t xml:space="preserve">Imagen 2b.</w:t>
        </w:r>
      </w:hyperlink>
      <w:r>
        <w:t xml:space="preserve"> </w:t>
      </w: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Figure"/>
      </w:pPr>
      <w:r>
        <w:drawing>
          <wp:inline>
            <wp:extent cx="5600700" cy="1808696"/>
            <wp:effectExtent b="0" l="0" r="0" t="0"/>
            <wp:docPr descr="" title="" id="85" name="Picture"/>
            <a:graphic>
              <a:graphicData uri="http://schemas.openxmlformats.org/drawingml/2006/picture">
                <pic:pic>
                  <pic:nvPicPr>
                    <pic:cNvPr descr="images/CRM.png" id="86" name="Picture"/>
                    <pic:cNvPicPr>
                      <a:picLocks noChangeArrowheads="1" noChangeAspect="1"/>
                    </pic:cNvPicPr>
                  </pic:nvPicPr>
                  <pic:blipFill>
                    <a:blip r:embed="rId84"/>
                    <a:stretch>
                      <a:fillRect/>
                    </a:stretch>
                  </pic:blipFill>
                  <pic:spPr bwMode="auto">
                    <a:xfrm>
                      <a:off x="0" y="0"/>
                      <a:ext cx="5600700" cy="1808696"/>
                    </a:xfrm>
                    <a:prstGeom prst="rect">
                      <a:avLst/>
                    </a:prstGeom>
                    <a:noFill/>
                    <a:ln w="9525">
                      <a:noFill/>
                      <a:headEnd/>
                      <a:tailEnd/>
                    </a:ln>
                  </pic:spPr>
                </pic:pic>
              </a:graphicData>
            </a:graphic>
          </wp:inline>
        </w:drawing>
      </w:r>
    </w:p>
    <w:p>
      <w:pPr>
        <w:pStyle w:val="FirstParagraph"/>
      </w:pPr>
      <w:hyperlink r:id="rId69">
        <w:r>
          <w:rPr>
            <w:rStyle w:val="Hipervnculo"/>
          </w:rPr>
          <w:t xml:space="preserve">Imagen 3.</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238baf1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87"/>
    <w:bookmarkStart w:id="91"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30">
        <w:r>
          <w:rPr>
            <w:rStyle w:val="Hipervnculo"/>
          </w:rPr>
          <w:t xml:space="preserve">06a.Objetivos gobierno</w:t>
        </w:r>
      </w:hyperlink>
      <w:r>
        <w:t xml:space="preserve">, y</w:t>
      </w:r>
      <w:r>
        <w:t xml:space="preserve"> </w:t>
      </w:r>
      <w:hyperlink r:id="rId30">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Esto requeriría de la ejecución de otro(s) proyecto. El Fondo podría desarrollar estas capacidades indicadas por este diagnóstico de forma interna, o contratar proyectos para la creación y gestión de estas capacidades.</w:t>
      </w:r>
    </w:p>
    <w:p>
      <w:pPr>
        <w:pStyle w:val="FirstParagraph"/>
      </w:pPr>
    </w:p>
    <w:p>
      <w:pPr>
        <w:pStyle w:val="Figure"/>
      </w:pPr>
      <w:r>
        <w:drawing>
          <wp:inline>
            <wp:extent cx="5600700" cy="4853940"/>
            <wp:effectExtent b="0" l="0" r="0" t="0"/>
            <wp:docPr descr="" title="" id="89" name="Picture"/>
            <a:graphic>
              <a:graphicData uri="http://schemas.openxmlformats.org/drawingml/2006/picture">
                <pic:pic>
                  <pic:nvPicPr>
                    <pic:cNvPr descr="images/capacidades.png" id="90" name="Picture"/>
                    <pic:cNvPicPr>
                      <a:picLocks noChangeArrowheads="1" noChangeAspect="1"/>
                    </pic:cNvPicPr>
                  </pic:nvPicPr>
                  <pic:blipFill>
                    <a:blip r:embed="rId88"/>
                    <a:stretch>
                      <a:fillRect/>
                    </a:stretch>
                  </pic:blipFill>
                  <pic:spPr bwMode="auto">
                    <a:xfrm>
                      <a:off x="0" y="0"/>
                      <a:ext cx="5600700" cy="4853940"/>
                    </a:xfrm>
                    <a:prstGeom prst="rect">
                      <a:avLst/>
                    </a:prstGeom>
                    <a:noFill/>
                    <a:ln w="9525">
                      <a:noFill/>
                      <a:headEnd/>
                      <a:tailEnd/>
                    </a:ln>
                  </pic:spPr>
                </pic:pic>
              </a:graphicData>
            </a:graphic>
          </wp:inline>
        </w:drawing>
      </w:r>
    </w:p>
    <w:p>
      <w:pPr>
        <w:pStyle w:val="FirstParagraph"/>
      </w:pPr>
      <w:hyperlink r:id="rId69">
        <w:r>
          <w:rPr>
            <w:rStyle w:val="Hipervnculo"/>
          </w:rPr>
          <w:t xml:space="preserve">Imagen 1.</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elaboración propia.</w:t>
      </w:r>
    </w:p>
    <w:p>
      <w:pPr>
        <w:pStyle w:val="Textoindependiente"/>
      </w:pPr>
    </w:p>
    <w:p>
      <w:pPr>
        <w:numPr>
          <w:ilvl w:val="0"/>
          <w:numId w:val="1010"/>
        </w:numPr>
        <w:pStyle w:val="Compact"/>
      </w:pPr>
      <w:r>
        <w:t xml:space="preserve">CAP1. Realizar e implementar estrategias y entregables para planear y analizar la arquitectura de referencia SOA del Fondo (resultado Fase 2 de este diagnóstico).</w:t>
      </w:r>
    </w:p>
    <w:p>
      <w:pPr>
        <w:numPr>
          <w:ilvl w:val="0"/>
          <w:numId w:val="1010"/>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10"/>
        </w:numPr>
        <w:pStyle w:val="Compact"/>
      </w:pPr>
      <w:r>
        <w:t xml:space="preserve">CAP3. Realizar y gestionar la puesta en marcha de hojas de ruta para cerrar brechas y alcanzar estados futuros de la arquitectura (TOGAF 9, Fase G, Implementation governance). Ver anexo 1.</w:t>
      </w:r>
    </w:p>
    <w:p>
      <w:pPr>
        <w:numPr>
          <w:ilvl w:val="0"/>
          <w:numId w:val="1010"/>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10"/>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10"/>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10"/>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bookmarkEnd w:id="91"/>
    <w:bookmarkStart w:id="95" w:name="Xe88be27d6eb70972344917e0d93a64398106ab7"/>
    <w:p>
      <w:pPr>
        <w:pStyle w:val="Ttulo3"/>
      </w:pPr>
      <w:r>
        <w:t xml:space="preserve">Anexo 1. Proceso de Arquitectura Empresarial</w:t>
      </w:r>
    </w:p>
    <w:p>
      <w:pPr>
        <w:pStyle w:val="Figure"/>
      </w:pPr>
      <w:r>
        <w:drawing>
          <wp:inline>
            <wp:extent cx="4406900" cy="5791200"/>
            <wp:effectExtent b="0" l="0" r="0" t="0"/>
            <wp:docPr descr="" title="" id="93" name="Picture"/>
            <a:graphic>
              <a:graphicData uri="http://schemas.openxmlformats.org/drawingml/2006/picture">
                <pic:pic>
                  <pic:nvPicPr>
                    <pic:cNvPr descr="images/adm.gif" id="94" name="Picture"/>
                    <pic:cNvPicPr>
                      <a:picLocks noChangeArrowheads="1" noChangeAspect="1"/>
                    </pic:cNvPicPr>
                  </pic:nvPicPr>
                  <pic:blipFill>
                    <a:blip r:embed="rId92"/>
                    <a:stretch>
                      <a:fillRect/>
                    </a:stretch>
                  </pic:blipFill>
                  <pic:spPr bwMode="auto">
                    <a:xfrm>
                      <a:off x="0" y="0"/>
                      <a:ext cx="4406900" cy="5791200"/>
                    </a:xfrm>
                    <a:prstGeom prst="rect">
                      <a:avLst/>
                    </a:prstGeom>
                    <a:noFill/>
                    <a:ln w="9525">
                      <a:noFill/>
                      <a:headEnd/>
                      <a:tailEnd/>
                    </a:ln>
                  </pic:spPr>
                </pic:pic>
              </a:graphicData>
            </a:graphic>
          </wp:inline>
        </w:drawing>
      </w:r>
    </w:p>
    <w:p>
      <w:pPr>
        <w:pStyle w:val="FirstParagraph"/>
      </w:pPr>
      <w:hyperlink r:id="rId69">
        <w:r>
          <w:rPr>
            <w:rStyle w:val="Hipervnculo"/>
          </w:rPr>
          <w:t xml:space="preserve">Imagen 2.</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www.opengroup.org/soa/source-book/togaf.</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Equilibrio arquitectura y procesos SOA</w:t>
            </w:r>
          </w:p>
        </w:tc>
      </w:tr>
      <w:tr>
        <w:tc>
          <w:tcPr/>
          <w:p>
            <w:pPr>
              <w:pStyle w:val="Compact"/>
              <w:jc w:val="left"/>
            </w:pPr>
            <w:r>
              <w:t xml:space="preserve">Palabras clave</w:t>
            </w:r>
          </w:p>
        </w:tc>
        <w:tc>
          <w:tcPr/>
          <w:p>
            <w:pPr>
              <w:pStyle w:val="Compact"/>
              <w:jc w:val="left"/>
            </w:pPr>
            <w:r>
              <w:t xml:space="preserve">SOA, Inversión TI, Eficacia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238baf1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95"/>
    <w:bookmarkEnd w:id="96"/>
    <w:bookmarkStart w:id="98" w:name="anexos"/>
    <w:p>
      <w:pPr>
        <w:pStyle w:val="Ttulo2"/>
      </w:pPr>
      <w:r>
        <w:t xml:space="preserve">Anexos</w:t>
      </w:r>
    </w:p>
    <w:bookmarkStart w:id="97" w:name="procedimiento-del-área-ti-del-fna"/>
    <w:p>
      <w:pPr>
        <w:pStyle w:val="Ttulo3"/>
      </w:pPr>
      <w:r>
        <w:t xml:space="preserve">Procedimiento del Área TI del FNA</w:t>
      </w:r>
    </w:p>
    <w:bookmarkEnd w:id="97"/>
    <w:bookmarkEnd w:id="98"/>
    <w:bookmarkEnd w:id="99"/>
    <w:bookmarkStart w:id="100" w:name="fase-2-soa-objetivo-fna-2"/>
    <w:p>
      <w:pPr>
        <w:pStyle w:val="Ttulo1"/>
      </w:pPr>
      <w:r>
        <w:t xml:space="preserve">Fase 2: SOA Objetivo FNA</w:t>
      </w:r>
    </w:p>
    <w:bookmarkEnd w:id="100"/>
    <w:bookmarkStart w:id="101" w:name="X024845d8147b634bd34f6993612268e32f0d607"/>
    <w:p>
      <w:pPr>
        <w:pStyle w:val="Ttulo1"/>
      </w:pPr>
      <w:r>
        <w:t xml:space="preserve">Contenido de los Productos Contractuales, 181-2020</w:t>
      </w:r>
    </w:p>
    <w:bookmarkEnd w:id="101"/>
    <w:bookmarkStart w:id="105"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02"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102"/>
    <w:bookmarkStart w:id="103" w:name="contenidos-2"/>
    <w:p>
      <w:pPr>
        <w:pStyle w:val="Ttulo2"/>
      </w:pPr>
      <w:r>
        <w:t xml:space="preserve">Contenidos</w:t>
      </w:r>
    </w:p>
    <w:p>
      <w:pPr>
        <w:numPr>
          <w:ilvl w:val="0"/>
          <w:numId w:val="1011"/>
        </w:numPr>
        <w:pStyle w:val="Compact"/>
      </w:pPr>
      <w:r>
        <w:t xml:space="preserve">Lista tecnologías SOA afines al Fondo</w:t>
      </w:r>
    </w:p>
    <w:p>
      <w:pPr>
        <w:numPr>
          <w:ilvl w:val="0"/>
          <w:numId w:val="1011"/>
        </w:numPr>
        <w:pStyle w:val="Compact"/>
      </w:pPr>
      <w:r>
        <w:t xml:space="preserve">Lista de beneficios al FNA por las tecnologías seleccionadas</w:t>
      </w:r>
    </w:p>
    <w:p>
      <w:pPr>
        <w:numPr>
          <w:ilvl w:val="0"/>
          <w:numId w:val="1011"/>
        </w:numPr>
        <w:pStyle w:val="Compact"/>
      </w:pPr>
      <w:r>
        <w:t xml:space="preserve">Implicaciones para la adquisición y adopción tecnológica</w:t>
      </w:r>
    </w:p>
    <w:p>
      <w:pPr>
        <w:pStyle w:val="FirstParagraph"/>
      </w:pPr>
    </w:p>
    <w:bookmarkEnd w:id="103"/>
    <w:bookmarkStart w:id="104" w:name="criterios-de-aceptación-2"/>
    <w:p>
      <w:pPr>
        <w:pStyle w:val="Ttulo2"/>
      </w:pPr>
      <w:r>
        <w:t xml:space="preserve">Criterios de Aceptación</w:t>
      </w:r>
    </w:p>
    <w:p>
      <w:pPr>
        <w:numPr>
          <w:ilvl w:val="0"/>
          <w:numId w:val="1012"/>
        </w:numPr>
        <w:pStyle w:val="Compact"/>
      </w:pPr>
      <w:r>
        <w:t xml:space="preserve">Evaluación e Identificación de la tecnología SOA en alineación con los objetivos del proyecto</w:t>
      </w:r>
    </w:p>
    <w:p>
      <w:pPr>
        <w:numPr>
          <w:ilvl w:val="0"/>
          <w:numId w:val="1012"/>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238baf1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104"/>
    <w:bookmarkEnd w:id="105"/>
    <w:bookmarkStart w:id="107" w:name="Xc661194b942662c596467c2a6efe0821b24b10d"/>
    <w:p>
      <w:pPr>
        <w:pStyle w:val="Ttulo1"/>
      </w:pPr>
      <w:r>
        <w:t xml:space="preserve">Estrategia de modelado e identificación de servicios</w:t>
      </w:r>
    </w:p>
    <w:bookmarkStart w:id="106"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3"/>
        </w:numPr>
        <w:pStyle w:val="Compact"/>
      </w:pPr>
      <w:r>
        <w:t xml:space="preserve">Entity. Modela un elemento de forma individual Tiene un identificador único.</w:t>
      </w:r>
    </w:p>
    <w:p>
      <w:pPr>
        <w:numPr>
          <w:ilvl w:val="0"/>
          <w:numId w:val="1013"/>
        </w:numPr>
        <w:pStyle w:val="Compact"/>
      </w:pPr>
      <w:r>
        <w:t xml:space="preserve">Value Objects. Modela un concepto inmmutable, el cual no tiene identificador único. Usualmente se usa para describir, cuantificar o medir un Entity.</w:t>
      </w:r>
    </w:p>
    <w:p>
      <w:pPr>
        <w:numPr>
          <w:ilvl w:val="0"/>
          <w:numId w:val="1013"/>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4"/>
        </w:numPr>
        <w:pStyle w:val="Compact"/>
      </w:pPr>
      <w:r>
        <w:t xml:space="preserve">Las innvariantes de negocio se protegen dentro de un Aggregate</w:t>
      </w:r>
    </w:p>
    <w:p>
      <w:pPr>
        <w:numPr>
          <w:ilvl w:val="0"/>
          <w:numId w:val="1014"/>
        </w:numPr>
        <w:pStyle w:val="Compact"/>
      </w:pPr>
      <w:r>
        <w:t xml:space="preserve">Propender por diseñar Aggregates pequeños</w:t>
      </w:r>
    </w:p>
    <w:p>
      <w:pPr>
        <w:numPr>
          <w:ilvl w:val="0"/>
          <w:numId w:val="1014"/>
        </w:numPr>
        <w:pStyle w:val="Compact"/>
      </w:pPr>
      <w:r>
        <w:t xml:space="preserve">Solo se referencian otros aggregates por su identificador</w:t>
      </w:r>
    </w:p>
    <w:p>
      <w:pPr>
        <w:numPr>
          <w:ilvl w:val="0"/>
          <w:numId w:val="1014"/>
        </w:numPr>
        <w:pStyle w:val="Compact"/>
      </w:pPr>
      <w:r>
        <w:t xml:space="preserve">Los Aggregates se actualizan mediante la consistencia eventual</w:t>
      </w:r>
    </w:p>
    <w:bookmarkEnd w:id="106"/>
    <w:bookmarkEnd w:id="107"/>
    <w:bookmarkStart w:id="108" w:name="fase-2-soa-objetivo"/>
    <w:p>
      <w:pPr>
        <w:pStyle w:val="Ttulo1"/>
      </w:pPr>
      <w:r>
        <w:t xml:space="preserve">Fase 2: SOA Objetivo</w:t>
      </w:r>
    </w:p>
    <w:bookmarkEnd w:id="108"/>
    <w:bookmarkStart w:id="109" w:name="X07b3a00b5f5fc91de94900ce5498c32360db804"/>
    <w:p>
      <w:pPr>
        <w:pStyle w:val="Ttulo1"/>
      </w:pPr>
      <w:r>
        <w:t xml:space="preserve">Contenido de los Productos Contractuales, 181-2020</w:t>
      </w:r>
    </w:p>
    <w:bookmarkEnd w:id="109"/>
    <w:bookmarkStart w:id="113"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10"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110"/>
    <w:bookmarkStart w:id="111" w:name="contenidos-3"/>
    <w:p>
      <w:pPr>
        <w:pStyle w:val="Ttulo2"/>
      </w:pPr>
      <w:r>
        <w:t xml:space="preserve">Contenidos</w:t>
      </w:r>
    </w:p>
    <w:p>
      <w:pPr>
        <w:numPr>
          <w:ilvl w:val="0"/>
          <w:numId w:val="1015"/>
        </w:numPr>
        <w:pStyle w:val="Compact"/>
      </w:pPr>
      <w:r>
        <w:t xml:space="preserve">Arquitectura de referencia SOA FNA, versión 2.0</w:t>
      </w:r>
    </w:p>
    <w:p>
      <w:pPr>
        <w:numPr>
          <w:ilvl w:val="0"/>
          <w:numId w:val="1015"/>
        </w:numPr>
        <w:pStyle w:val="Compact"/>
      </w:pPr>
      <w:r>
        <w:t xml:space="preserve">Consideraciones para gobierno y adaptabilidad de la arquitectura 2.0</w:t>
      </w:r>
    </w:p>
    <w:p>
      <w:pPr>
        <w:numPr>
          <w:ilvl w:val="0"/>
          <w:numId w:val="1015"/>
        </w:numPr>
        <w:pStyle w:val="Compact"/>
      </w:pPr>
      <w:r>
        <w:t xml:space="preserve">Administración de requerimientos de arquitectura para evolución y mantenimiento</w:t>
      </w:r>
    </w:p>
    <w:p>
      <w:pPr>
        <w:numPr>
          <w:ilvl w:val="0"/>
          <w:numId w:val="1015"/>
        </w:numPr>
        <w:pStyle w:val="Compact"/>
      </w:pPr>
      <w:r>
        <w:t xml:space="preserve">Procedimientos de evaluación de la arquitectura candidata FNA (req. no funcionales)</w:t>
      </w:r>
    </w:p>
    <w:p>
      <w:pPr>
        <w:pStyle w:val="FirstParagraph"/>
      </w:pPr>
    </w:p>
    <w:bookmarkEnd w:id="111"/>
    <w:bookmarkStart w:id="112" w:name="criterios-de-aceptación-3"/>
    <w:p>
      <w:pPr>
        <w:pStyle w:val="Ttulo2"/>
      </w:pPr>
      <w:r>
        <w:t xml:space="preserve">Criterios de Aceptación</w:t>
      </w:r>
    </w:p>
    <w:p>
      <w:pPr>
        <w:numPr>
          <w:ilvl w:val="0"/>
          <w:numId w:val="1016"/>
        </w:numPr>
        <w:pStyle w:val="Compact"/>
      </w:pPr>
      <w:r>
        <w:t xml:space="preserve">Arquitectura de referencia SOA FNA, versión 2.0</w:t>
      </w:r>
    </w:p>
    <w:p>
      <w:pPr>
        <w:numPr>
          <w:ilvl w:val="0"/>
          <w:numId w:val="1016"/>
        </w:numPr>
        <w:pStyle w:val="Compact"/>
      </w:pPr>
      <w:r>
        <w:t xml:space="preserve">Articulación con gobierno SOA del FNA</w:t>
      </w:r>
    </w:p>
    <w:p>
      <w:r>
        <w:pict>
          <v:rect style="width:0;height:1.5pt" o:hralign="center" o:hrstd="t" o:hr="t"/>
        </w:pict>
      </w:r>
    </w:p>
    <w:bookmarkEnd w:id="112"/>
    <w:bookmarkEnd w:id="113"/>
    <w:bookmarkStart w:id="114" w:name="fase-2-soa-objetivo-1"/>
    <w:p>
      <w:pPr>
        <w:pStyle w:val="Ttulo1"/>
      </w:pPr>
      <w:r>
        <w:t xml:space="preserve">Fase 2: SOA Objetivo</w:t>
      </w:r>
    </w:p>
    <w:bookmarkEnd w:id="114"/>
    <w:bookmarkStart w:id="115" w:name="Xbe911d7c278a50d04b5b6b9edcb221ad80ef741"/>
    <w:p>
      <w:pPr>
        <w:pStyle w:val="Ttulo1"/>
      </w:pPr>
      <w:r>
        <w:t xml:space="preserve">Contenido de los Productos Contractuales, 181-2020</w:t>
      </w:r>
    </w:p>
    <w:bookmarkEnd w:id="115"/>
    <w:bookmarkStart w:id="120"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17" w:name="justificación-4"/>
    <w:p>
      <w:pPr>
        <w:pStyle w:val="Ttulo2"/>
      </w:pPr>
      <w:r>
        <w:t xml:space="preserve">Justificación</w:t>
      </w:r>
    </w:p>
    <w:p>
      <w:pPr>
        <w:pStyle w:val="FirstParagraph"/>
      </w:pPr>
      <w:r>
        <w:t xml:space="preserve">Asegurar que la arquitectura SOA del Fondo apegada a la</w:t>
      </w:r>
      <w:r>
        <w:t xml:space="preserve"> </w:t>
      </w:r>
      <w:hyperlink r:id="rId116">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117"/>
    <w:bookmarkStart w:id="118" w:name="contenidos-4"/>
    <w:p>
      <w:pPr>
        <w:pStyle w:val="Ttulo2"/>
      </w:pPr>
      <w:r>
        <w:t xml:space="preserve">Contenidos</w:t>
      </w:r>
    </w:p>
    <w:p>
      <w:pPr>
        <w:numPr>
          <w:ilvl w:val="0"/>
          <w:numId w:val="1017"/>
        </w:numPr>
        <w:pStyle w:val="Compact"/>
      </w:pPr>
      <w:r>
        <w:t xml:space="preserve">Arquitectura SOA candidata para el segmento FNA (vista de segmento)</w:t>
      </w:r>
    </w:p>
    <w:p>
      <w:pPr>
        <w:numPr>
          <w:ilvl w:val="0"/>
          <w:numId w:val="1017"/>
        </w:numPr>
        <w:pStyle w:val="Compact"/>
      </w:pPr>
      <w:r>
        <w:t xml:space="preserve">Matriz de brechas de las partes del segmento FNA</w:t>
      </w:r>
    </w:p>
    <w:p>
      <w:pPr>
        <w:numPr>
          <w:ilvl w:val="0"/>
          <w:numId w:val="1017"/>
        </w:numPr>
        <w:pStyle w:val="Compact"/>
      </w:pPr>
      <w:r>
        <w:t xml:space="preserve">Bloques de cambios para el segmento FNA: ítems por retener, rediseñar, actualizar, retirar</w:t>
      </w:r>
    </w:p>
    <w:p>
      <w:pPr>
        <w:numPr>
          <w:ilvl w:val="0"/>
          <w:numId w:val="1017"/>
        </w:numPr>
        <w:pStyle w:val="Compact"/>
      </w:pPr>
      <w:r>
        <w:t xml:space="preserve">Análisis de impacto y dependencia entre los cambios en el segmento de la empresa</w:t>
      </w:r>
    </w:p>
    <w:p>
      <w:pPr>
        <w:numPr>
          <w:ilvl w:val="0"/>
          <w:numId w:val="1017"/>
        </w:numPr>
        <w:pStyle w:val="Compact"/>
      </w:pPr>
      <w:r>
        <w:t xml:space="preserve">Ficha descriptiva de iniciativas de mejora para el segmento FNA (justificación)</w:t>
      </w:r>
    </w:p>
    <w:p>
      <w:pPr>
        <w:numPr>
          <w:ilvl w:val="0"/>
          <w:numId w:val="1017"/>
        </w:numPr>
        <w:pStyle w:val="Compact"/>
      </w:pPr>
      <w:r>
        <w:t xml:space="preserve">Hoja de ruta preliminar hacia un objetivo de mejora</w:t>
      </w:r>
    </w:p>
    <w:p>
      <w:pPr>
        <w:pStyle w:val="FirstParagraph"/>
      </w:pPr>
    </w:p>
    <w:bookmarkEnd w:id="118"/>
    <w:bookmarkStart w:id="119" w:name="criterios-de-aceptación-4"/>
    <w:p>
      <w:pPr>
        <w:pStyle w:val="Ttulo2"/>
      </w:pPr>
      <w:r>
        <w:t xml:space="preserve">Criterios de Aceptación</w:t>
      </w:r>
    </w:p>
    <w:p>
      <w:pPr>
        <w:numPr>
          <w:ilvl w:val="0"/>
          <w:numId w:val="1018"/>
        </w:numPr>
        <w:pStyle w:val="Compact"/>
      </w:pPr>
      <w:r>
        <w:t xml:space="preserve">Lista de cambios para el segmento FNA: ítems incluídos, por mejorar, nuevos y eliminados</w:t>
      </w:r>
    </w:p>
    <w:p>
      <w:pPr>
        <w:numPr>
          <w:ilvl w:val="0"/>
          <w:numId w:val="1018"/>
        </w:numPr>
        <w:pStyle w:val="Compact"/>
      </w:pPr>
      <w:r>
        <w:t xml:space="preserve">Hoja de ruta preliminar hacia un objetivo de mejora</w:t>
      </w:r>
    </w:p>
    <w:p>
      <w:r>
        <w:pict>
          <v:rect style="width:0;height:1.5pt" o:hralign="center" o:hrstd="t" o:hr="t"/>
        </w:pict>
      </w:r>
    </w:p>
    <w:bookmarkEnd w:id="119"/>
    <w:bookmarkEnd w:id="12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66" Target="media/rId66.png" /><Relationship Type="http://schemas.openxmlformats.org/officeDocument/2006/relationships/image" Id="rId92" Target="media/rId92.gif" /><Relationship Type="http://schemas.openxmlformats.org/officeDocument/2006/relationships/image" Id="rId88" Target="media/rId88.png" /><Relationship Type="http://schemas.openxmlformats.org/officeDocument/2006/relationships/image" Id="rId78" Target="media/rId78.png" /><Relationship Type="http://schemas.openxmlformats.org/officeDocument/2006/relationships/hyperlink" Id="rId69"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238baf1a1fcecebbaf79ebb4f89fe5366c0915af" TargetMode="External" /><Relationship Type="http://schemas.openxmlformats.org/officeDocument/2006/relationships/hyperlink" Id="rId20" Target="https://hwong23.github.io/fna-devdocs-f2/v/238baf1a1fcecebbaf79ebb4f89fe5366c0915af/"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16"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69"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238baf1a1fcecebbaf79ebb4f89fe5366c0915af" TargetMode="External" /><Relationship Type="http://schemas.openxmlformats.org/officeDocument/2006/relationships/hyperlink" Id="rId20" Target="https://hwong23.github.io/fna-devdocs-f2/v/238baf1a1fcecebbaf79ebb4f89fe5366c0915af/"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16"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2023-01-31T02:55:55Z</dcterms:created>
  <dcterms:modified xsi:type="dcterms:W3CDTF">2023-01-31T02:55:55Z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