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2"/>
      </w:pPr>
      <w:r>
        <w:t xml:space="preserve">Fase 1: Estado SOA Actual</w:t>
      </w:r>
    </w:p>
    <w:bookmarkEnd w:id="20"/>
    <w:bookmarkStart w:id="21" w:name="Xde28353806a99316a61e306cd812fd556109b6d"/>
    <w:p>
      <w:pPr>
        <w:pStyle w:val="2"/>
      </w:pPr>
      <w:r>
        <w:t xml:space="preserve">Contenido de los Productos Contractuales, 181-2020</w:t>
      </w:r>
    </w:p>
    <w:p>
      <w:pPr>
        <w:pStyle w:val="31"/>
      </w:pPr>
    </w:p>
    <w:bookmarkEnd w:id="21"/>
    <w:bookmarkStart w:id="25" w:name="X5729dbf0db6066b30f53e9af5c9edee5e592600"/>
    <w:p>
      <w:pPr>
        <w:pStyle w:val="2"/>
      </w:pPr>
      <w:r>
        <w:t xml:space="preserve">Producto 6: PR6. Comparativa de la industria y el FNA</w:t>
      </w:r>
    </w:p>
    <w:p>
      <w:pPr>
        <w:pStyle w:val="31"/>
      </w:pPr>
      <w:r>
        <w:t xml:space="preserve">Describir y comparar con el Fondo la manera cómo las empresas del segmento y de otros sectores de la industria enfrentan los retos de flexibilidad de negocio, independencia de proveedor tecnológico, y fortaleza SOA.</w:t>
      </w:r>
    </w:p>
    <w:p>
      <w:pPr>
        <w:pStyle w:val="3"/>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3"/>
      </w:pPr>
    </w:p>
    <w:bookmarkStart w:id="22" w:name="justificación"/>
    <w:p>
      <w:pPr>
        <w:pStyle w:val="4"/>
      </w:pPr>
      <w:r>
        <w:t xml:space="preserve">Justificación</w:t>
      </w:r>
    </w:p>
    <w:p>
      <w:pPr>
        <w:pStyle w:val="31"/>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4"/>
      </w:pPr>
      <w:r>
        <w:t xml:space="preserve">Contenidos</w:t>
      </w:r>
    </w:p>
    <w:p>
      <w:pPr>
        <w:numPr>
          <w:ilvl w:val="0"/>
          <w:numId w:val="1001"/>
        </w:numPr>
        <w:pStyle w:val="34"/>
      </w:pPr>
      <w:r>
        <w:t xml:space="preserve">Arquitectura SOA</w:t>
      </w:r>
    </w:p>
    <w:p>
      <w:pPr>
        <w:numPr>
          <w:ilvl w:val="0"/>
          <w:numId w:val="1001"/>
        </w:numPr>
        <w:pStyle w:val="34"/>
      </w:pPr>
      <w:r>
        <w:t xml:space="preserve">Portafolio de servicios</w:t>
      </w:r>
    </w:p>
    <w:p>
      <w:pPr>
        <w:numPr>
          <w:ilvl w:val="0"/>
          <w:numId w:val="1001"/>
        </w:numPr>
        <w:pStyle w:val="34"/>
      </w:pPr>
      <w:r>
        <w:t xml:space="preserve">Gobierno SOA</w:t>
      </w:r>
    </w:p>
    <w:p>
      <w:pPr>
        <w:numPr>
          <w:ilvl w:val="0"/>
          <w:numId w:val="1001"/>
        </w:numPr>
        <w:pStyle w:val="34"/>
      </w:pPr>
      <w:r>
        <w:t xml:space="preserve">Versionamiento de servicios</w:t>
      </w:r>
    </w:p>
    <w:p>
      <w:pPr>
        <w:numPr>
          <w:ilvl w:val="0"/>
          <w:numId w:val="1001"/>
        </w:numPr>
        <w:pStyle w:val="34"/>
      </w:pPr>
      <w:r>
        <w:t xml:space="preserve">Monitoreo y operación SOA</w:t>
      </w:r>
    </w:p>
    <w:p>
      <w:pPr>
        <w:numPr>
          <w:ilvl w:val="0"/>
          <w:numId w:val="1001"/>
        </w:numPr>
        <w:pStyle w:val="34"/>
      </w:pPr>
      <w:r>
        <w:t xml:space="preserve">Mantenimiento y evolución de servicios</w:t>
      </w:r>
    </w:p>
    <w:p>
      <w:pPr>
        <w:numPr>
          <w:ilvl w:val="0"/>
          <w:numId w:val="1001"/>
        </w:numPr>
        <w:pStyle w:val="34"/>
      </w:pPr>
      <w:r>
        <w:t xml:space="preserve">Nuevas tecnologías</w:t>
      </w:r>
    </w:p>
    <w:p>
      <w:pPr>
        <w:pStyle w:val="31"/>
      </w:pPr>
    </w:p>
    <w:bookmarkEnd w:id="23"/>
    <w:bookmarkStart w:id="24" w:name="criterios-de-aceptación"/>
    <w:p>
      <w:pPr>
        <w:pStyle w:val="4"/>
      </w:pPr>
      <w:r>
        <w:t xml:space="preserve">Criterios de Aceptación</w:t>
      </w:r>
    </w:p>
    <w:p>
      <w:pPr>
        <w:numPr>
          <w:ilvl w:val="0"/>
          <w:numId w:val="1002"/>
        </w:numPr>
        <w:pStyle w:val="34"/>
      </w:pPr>
      <w:r>
        <w:t xml:space="preserve">Lista de oportunidades e iniciativas ralizables por el FNA</w:t>
      </w:r>
    </w:p>
    <w:p>
      <w:pPr>
        <w:numPr>
          <w:ilvl w:val="0"/>
          <w:numId w:val="1002"/>
        </w:numPr>
        <w:pStyle w:val="34"/>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2"/>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rPr>
                <w:bCs/>
                <w:b/>
              </w:rPr>
              <w:t xml:space="preserve">Comparación SOA FNA - Sector</w:t>
            </w:r>
          </w:p>
        </w:tc>
      </w:tr>
      <w:tr>
        <w:tc>
          <w:tcPr/>
          <w:p>
            <w:pPr>
              <w:pStyle w:val="34"/>
              <w:jc w:val="left"/>
            </w:pPr>
            <w:r>
              <w:t xml:space="preserve">Palabras clave</w:t>
            </w:r>
          </w:p>
        </w:tc>
        <w:tc>
          <w:tcPr/>
          <w:p>
            <w:pPr>
              <w:pStyle w:val="34"/>
              <w:jc w:val="left"/>
            </w:pPr>
            <w:r>
              <w:t xml:space="preserve">SOA, Situación actual, Comparativa</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 | Hijo</w:t>
            </w:r>
          </w:p>
        </w:tc>
      </w:tr>
      <w:tr>
        <w:tc>
          <w:tcPr/>
          <w:p>
            <w:pPr>
              <w:pStyle w:val="34"/>
              <w:jc w:val="left"/>
            </w:pPr>
            <w:r>
              <w:t xml:space="preserve">Vínculos</w:t>
            </w:r>
          </w:p>
        </w:tc>
        <w:tc>
          <w:tcPr/>
          <w:p>
            <w:pPr>
              <w:pStyle w:val="34"/>
              <w:jc w:val="left"/>
            </w:pPr>
            <w:hyperlink r:id="rId26">
              <w:r>
                <w:rPr>
                  <w:rStyle w:val="17"/>
                </w:rPr>
                <w:t xml:space="preserve">N003a Vista Segmento SOA FNA</w:t>
              </w:r>
            </w:hyperlink>
          </w:p>
        </w:tc>
      </w:tr>
    </w:tbl>
    <w:p>
      <w:pPr>
        <w:pStyle w:val="3"/>
      </w:pPr>
    </w:p>
    <w:p>
      <w:pPr>
        <w:pStyle w:val="3"/>
      </w:pPr>
      <w:r>
        <w:t xml:space="preserve">Para presentar este análisis comparativo se han selecionado algunas dimensiones que facilitan la presentación de la comparación en categorías.</w:t>
      </w:r>
    </w:p>
    <w:p>
      <w:pPr>
        <w:pStyle w:val="3"/>
      </w:pPr>
      <w:r>
        <w:t xml:space="preserve">Los aspectos a tener en cuenta en la comparativa serán:</w:t>
      </w:r>
    </w:p>
    <w:p>
      <w:pPr>
        <w:numPr>
          <w:ilvl w:val="0"/>
          <w:numId w:val="1003"/>
        </w:numPr>
        <w:pStyle w:val="34"/>
      </w:pPr>
      <w:r>
        <w:t xml:space="preserve">Arquitectura SOA</w:t>
      </w:r>
    </w:p>
    <w:p>
      <w:pPr>
        <w:numPr>
          <w:ilvl w:val="0"/>
          <w:numId w:val="1003"/>
        </w:numPr>
        <w:pStyle w:val="34"/>
      </w:pPr>
      <w:r>
        <w:t xml:space="preserve">Portafolio de Servicios</w:t>
      </w:r>
    </w:p>
    <w:p>
      <w:pPr>
        <w:numPr>
          <w:ilvl w:val="0"/>
          <w:numId w:val="1003"/>
        </w:numPr>
        <w:pStyle w:val="34"/>
      </w:pPr>
      <w:r>
        <w:t xml:space="preserve">Gobierno SOA</w:t>
      </w:r>
    </w:p>
    <w:p>
      <w:pPr>
        <w:numPr>
          <w:ilvl w:val="0"/>
          <w:numId w:val="1003"/>
        </w:numPr>
        <w:pStyle w:val="34"/>
      </w:pPr>
      <w:r>
        <w:t xml:space="preserve">Estrategia de Versionamiento</w:t>
      </w:r>
    </w:p>
    <w:p>
      <w:pPr>
        <w:numPr>
          <w:ilvl w:val="0"/>
          <w:numId w:val="1003"/>
        </w:numPr>
        <w:pStyle w:val="34"/>
      </w:pPr>
      <w:r>
        <w:t xml:space="preserve">Monitoreo y Operación</w:t>
      </w:r>
    </w:p>
    <w:p>
      <w:pPr>
        <w:numPr>
          <w:ilvl w:val="0"/>
          <w:numId w:val="1003"/>
        </w:numPr>
        <w:pStyle w:val="34"/>
      </w:pPr>
      <w:r>
        <w:t xml:space="preserve">Mantenimiento y Evolución</w:t>
      </w:r>
    </w:p>
    <w:p>
      <w:pPr>
        <w:numPr>
          <w:ilvl w:val="0"/>
          <w:numId w:val="1003"/>
        </w:numPr>
        <w:pStyle w:val="34"/>
      </w:pPr>
      <w:r>
        <w:t xml:space="preserve">Nuevas tecnologías</w:t>
      </w:r>
    </w:p>
    <w:p>
      <w:pPr>
        <w:pStyle w:val="31"/>
      </w:pPr>
    </w:p>
    <w:p>
      <w:pPr>
        <w:pStyle w:val="3"/>
      </w:pPr>
      <w:r>
        <w:t xml:space="preserve">Presentaremos cada uno de estos aspectos desde el sector financiero en general y; posteriormente serán aplicados al FNA.</w:t>
      </w:r>
    </w:p>
    <w:p>
      <w:pPr>
        <w:pStyle w:val="3"/>
      </w:pPr>
    </w:p>
    <w:bookmarkStart w:id="30" w:name="arquitectura-soa"/>
    <w:p>
      <w:pPr>
        <w:pStyle w:val="4"/>
      </w:pPr>
      <w:r>
        <w:t xml:space="preserve">Arquitectura SOA</w:t>
      </w:r>
    </w:p>
    <w:bookmarkStart w:id="27" w:name="descripción"/>
    <w:p>
      <w:pPr>
        <w:pStyle w:val="5"/>
      </w:pPr>
      <w:r>
        <w:t xml:space="preserve">Descripción</w:t>
      </w:r>
    </w:p>
    <w:p>
      <w:pPr>
        <w:pStyle w:val="31"/>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5"/>
      </w:pPr>
      <w:r>
        <w:t xml:space="preserve">Prácticas del Sector Financiero</w:t>
      </w:r>
    </w:p>
    <w:p>
      <w:pPr>
        <w:pStyle w:val="31"/>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5"/>
      </w:pPr>
      <w:r>
        <w:t xml:space="preserve">Comparativa FNA</w:t>
      </w:r>
    </w:p>
    <w:p>
      <w:pPr>
        <w:pStyle w:val="31"/>
      </w:pPr>
      <w:r>
        <w:t xml:space="preserve">…</w:t>
      </w:r>
    </w:p>
    <w:p>
      <w:pPr>
        <w:pStyle w:val="3"/>
      </w:pPr>
    </w:p>
    <w:bookmarkEnd w:id="29"/>
    <w:bookmarkEnd w:id="30"/>
    <w:bookmarkStart w:id="34" w:name="portafolio-de-servicios"/>
    <w:p>
      <w:pPr>
        <w:pStyle w:val="4"/>
      </w:pPr>
      <w:r>
        <w:t xml:space="preserve">Portafolio de Servicios</w:t>
      </w:r>
    </w:p>
    <w:bookmarkStart w:id="31" w:name="descripción-1"/>
    <w:p>
      <w:pPr>
        <w:pStyle w:val="5"/>
      </w:pPr>
      <w:r>
        <w:t xml:space="preserve">Descripción</w:t>
      </w:r>
    </w:p>
    <w:p>
      <w:pPr>
        <w:pStyle w:val="31"/>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5"/>
      </w:pPr>
      <w:r>
        <w:t xml:space="preserve">Prácticas del Sector Financiero</w:t>
      </w:r>
    </w:p>
    <w:p>
      <w:pPr>
        <w:pStyle w:val="31"/>
      </w:pPr>
      <w:r>
        <w:t xml:space="preserve">Herramientas para el manejo del portafolio de servicios</w:t>
      </w:r>
      <w:r>
        <w:t xml:space="preserve"> </w:t>
      </w:r>
      <w:r>
        <w:t xml:space="preserve">Gobierno del portafolio de servicios</w:t>
      </w:r>
    </w:p>
    <w:bookmarkEnd w:id="32"/>
    <w:bookmarkStart w:id="33" w:name="comparativa-fna-1"/>
    <w:p>
      <w:pPr>
        <w:pStyle w:val="5"/>
      </w:pPr>
      <w:r>
        <w:t xml:space="preserve">Comparativa FNA</w:t>
      </w:r>
    </w:p>
    <w:p>
      <w:pPr>
        <w:pStyle w:val="31"/>
      </w:pPr>
    </w:p>
    <w:bookmarkEnd w:id="33"/>
    <w:bookmarkEnd w:id="34"/>
    <w:bookmarkStart w:id="38" w:name="gobierno-soa"/>
    <w:p>
      <w:pPr>
        <w:pStyle w:val="4"/>
      </w:pPr>
      <w:r>
        <w:t xml:space="preserve">Gobierno SOA</w:t>
      </w:r>
    </w:p>
    <w:bookmarkStart w:id="35" w:name="descripción-2"/>
    <w:p>
      <w:pPr>
        <w:pStyle w:val="5"/>
      </w:pPr>
      <w:r>
        <w:t xml:space="preserve">Descripción</w:t>
      </w:r>
    </w:p>
    <w:p>
      <w:pPr>
        <w:pStyle w:val="31"/>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5"/>
      </w:pPr>
      <w:r>
        <w:t xml:space="preserve">Mejores prácticas en el sector</w:t>
      </w:r>
    </w:p>
    <w:p>
      <w:pPr>
        <w:pStyle w:val="31"/>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5"/>
      </w:pPr>
      <w:r>
        <w:t xml:space="preserve">Comparativa FNA</w:t>
      </w:r>
    </w:p>
    <w:p>
      <w:pPr>
        <w:pStyle w:val="31"/>
      </w:pPr>
    </w:p>
    <w:bookmarkEnd w:id="37"/>
    <w:bookmarkEnd w:id="38"/>
    <w:bookmarkStart w:id="42" w:name="estrategia-de-versionamiento"/>
    <w:p>
      <w:pPr>
        <w:pStyle w:val="4"/>
      </w:pPr>
      <w:r>
        <w:t xml:space="preserve">Estrategia de Versionamiento</w:t>
      </w:r>
    </w:p>
    <w:bookmarkStart w:id="39" w:name="descripción-3"/>
    <w:p>
      <w:pPr>
        <w:pStyle w:val="5"/>
      </w:pPr>
      <w:r>
        <w:t xml:space="preserve">Descripción</w:t>
      </w:r>
    </w:p>
    <w:p>
      <w:pPr>
        <w:pStyle w:val="31"/>
      </w:pPr>
      <w:r>
        <w:t xml:space="preserve">Esta categoría busca establecer los mecanismos, herramientas y mejores prácticas relacionadas con el manejo de las versiones de los servicios.</w:t>
      </w:r>
    </w:p>
    <w:p>
      <w:pPr>
        <w:pStyle w:val="3"/>
      </w:pPr>
    </w:p>
    <w:bookmarkEnd w:id="39"/>
    <w:bookmarkStart w:id="40" w:name="prácticas-del-sector-financiero-2"/>
    <w:p>
      <w:pPr>
        <w:pStyle w:val="5"/>
      </w:pPr>
      <w:r>
        <w:t xml:space="preserve">Prácticas del Sector Financiero</w:t>
      </w:r>
    </w:p>
    <w:p>
      <w:pPr>
        <w:pStyle w:val="31"/>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3"/>
      </w:pPr>
    </w:p>
    <w:bookmarkEnd w:id="40"/>
    <w:bookmarkStart w:id="41" w:name="comparativa-fna-3"/>
    <w:p>
      <w:pPr>
        <w:pStyle w:val="5"/>
      </w:pPr>
      <w:r>
        <w:t xml:space="preserve">Comparativa FNA</w:t>
      </w:r>
    </w:p>
    <w:p>
      <w:pPr>
        <w:pStyle w:val="31"/>
      </w:pPr>
    </w:p>
    <w:bookmarkEnd w:id="41"/>
    <w:bookmarkEnd w:id="42"/>
    <w:bookmarkStart w:id="46" w:name="monitoreo-y-operación"/>
    <w:p>
      <w:pPr>
        <w:pStyle w:val="4"/>
      </w:pPr>
      <w:r>
        <w:t xml:space="preserve">Monitoreo y Operación</w:t>
      </w:r>
    </w:p>
    <w:bookmarkStart w:id="43" w:name="descripción-4"/>
    <w:p>
      <w:pPr>
        <w:pStyle w:val="5"/>
      </w:pPr>
      <w:r>
        <w:t xml:space="preserve">Descripción</w:t>
      </w:r>
    </w:p>
    <w:p>
      <w:pPr>
        <w:pStyle w:val="31"/>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5"/>
      </w:pPr>
      <w:r>
        <w:t xml:space="preserve">Prácticas del Sector Financiero</w:t>
      </w:r>
    </w:p>
    <w:p>
      <w:pPr>
        <w:pStyle w:val="31"/>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5"/>
      </w:pPr>
      <w:r>
        <w:t xml:space="preserve">Comparativa FNA</w:t>
      </w:r>
    </w:p>
    <w:p>
      <w:pPr>
        <w:pStyle w:val="31"/>
      </w:pPr>
    </w:p>
    <w:bookmarkEnd w:id="45"/>
    <w:bookmarkEnd w:id="46"/>
    <w:bookmarkStart w:id="50" w:name="mantenimiento-y-evolución"/>
    <w:p>
      <w:pPr>
        <w:pStyle w:val="4"/>
      </w:pPr>
      <w:r>
        <w:t xml:space="preserve">Mantenimiento y Evolución</w:t>
      </w:r>
    </w:p>
    <w:bookmarkStart w:id="47" w:name="descripción-5"/>
    <w:p>
      <w:pPr>
        <w:pStyle w:val="5"/>
      </w:pPr>
      <w:r>
        <w:t xml:space="preserve">Descripción</w:t>
      </w:r>
    </w:p>
    <w:p>
      <w:pPr>
        <w:pStyle w:val="31"/>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5"/>
      </w:pPr>
      <w:r>
        <w:t xml:space="preserve">Prácticas del Sector Financiero</w:t>
      </w:r>
    </w:p>
    <w:p>
      <w:pPr>
        <w:pStyle w:val="31"/>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5"/>
      </w:pPr>
      <w:r>
        <w:t xml:space="preserve">Comparativa FNA</w:t>
      </w:r>
    </w:p>
    <w:p>
      <w:pPr>
        <w:pStyle w:val="31"/>
      </w:pPr>
    </w:p>
    <w:bookmarkEnd w:id="49"/>
    <w:bookmarkEnd w:id="50"/>
    <w:bookmarkStart w:id="54" w:name="nuevas-tecnologías"/>
    <w:p>
      <w:pPr>
        <w:pStyle w:val="4"/>
      </w:pPr>
      <w:r>
        <w:t xml:space="preserve">Nuevas tecnologías</w:t>
      </w:r>
    </w:p>
    <w:bookmarkStart w:id="51" w:name="descripción-6"/>
    <w:p>
      <w:pPr>
        <w:pStyle w:val="5"/>
      </w:pPr>
      <w:r>
        <w:t xml:space="preserve">Descripción</w:t>
      </w:r>
    </w:p>
    <w:p>
      <w:pPr>
        <w:pStyle w:val="31"/>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5"/>
      </w:pPr>
      <w:r>
        <w:t xml:space="preserve">Prácticas del Sector Financiero</w:t>
      </w:r>
    </w:p>
    <w:p>
      <w:pPr>
        <w:pStyle w:val="31"/>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5"/>
      </w:pPr>
      <w:r>
        <w:t xml:space="preserve">Comparativa FNA</w:t>
      </w:r>
    </w:p>
    <w:bookmarkEnd w:id="53"/>
    <w:bookmarkEnd w:id="54"/>
    <w:bookmarkEnd w:id="55"/>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6"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2023-01-10T22:03:08Z</dcterms:created>
  <dcterms:modified xsi:type="dcterms:W3CDTF">2023-01-10T22:03:08Z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