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p>
      <w:pPr>
        <w:pStyle w:val="FirstParagraph"/>
      </w:pPr>
    </w:p>
    <w:bookmarkEnd w:id="21"/>
    <w:bookmarkStart w:id="26" w:name="X8ecd8291b4747b63a587a34c535f1ee38fab38a"/>
    <w:p>
      <w:pPr>
        <w:pStyle w:val="Ttulo1"/>
      </w:pPr>
      <w:r>
        <w:t xml:space="preserve">Producto 5: PR5.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Versionamiento de servicios</w:t>
      </w:r>
    </w:p>
    <w:p>
      <w:pPr>
        <w:numPr>
          <w:ilvl w:val="0"/>
          <w:numId w:val="1001"/>
        </w:numPr>
        <w:pStyle w:val="Compact"/>
      </w:pPr>
      <w:r>
        <w:t xml:space="preserve">Monitoreo y operación SOA</w:t>
      </w:r>
    </w:p>
    <w:p>
      <w:pPr>
        <w:numPr>
          <w:ilvl w:val="0"/>
          <w:numId w:val="1001"/>
        </w:numPr>
        <w:pStyle w:val="Compact"/>
      </w:pPr>
      <w:r>
        <w:t xml:space="preserve">Mantenimiento y evolución de servicios</w:t>
      </w:r>
    </w:p>
    <w:p>
      <w:pPr>
        <w:numPr>
          <w:ilvl w:val="0"/>
          <w:numId w:val="1001"/>
        </w:numPr>
        <w:pStyle w:val="Compact"/>
      </w:pPr>
      <w:r>
        <w:t xml:space="preserve">Nuevas tecnologías</w:t>
      </w:r>
    </w:p>
    <w:p>
      <w:pPr>
        <w:pStyle w:val="FirstParagraph"/>
      </w:pPr>
    </w:p>
    <w:bookmarkEnd w:id="23"/>
    <w:bookmarkStart w:id="25"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849d888 del 28 Jan 2023</w:t>
            </w:r>
          </w:p>
        </w:tc>
      </w:tr>
      <w:tr>
        <w:tc>
          <w:tcPr/>
          <w:p>
            <w:pPr>
              <w:pStyle w:val="Compact"/>
              <w:jc w:val="left"/>
            </w:pPr>
            <w:r>
              <w:t xml:space="preserve">Vínculos</w:t>
            </w:r>
          </w:p>
        </w:tc>
        <w:tc>
          <w:tcPr/>
          <w:p>
            <w:pPr>
              <w:pStyle w:val="Compact"/>
              <w:jc w:val="left"/>
            </w:pPr>
            <w:hyperlink r:id="rId24">
              <w:r>
                <w:rPr>
                  <w:rStyle w:val="Hipervnculo"/>
                </w:rPr>
                <w:t xml:space="preserve">N003a Vista Segmento SOA FNA</w:t>
              </w:r>
            </w:hyperlink>
          </w:p>
        </w:tc>
      </w:tr>
    </w:tbl>
    <w:p>
      <w:pPr>
        <w:pStyle w:val="Textoindependiente"/>
      </w:pPr>
    </w:p>
    <w:bookmarkEnd w:id="25"/>
    <w:bookmarkEnd w:id="26"/>
    <w:bookmarkStart w:id="55"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 SOA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30" w:name="arquitectura-soa"/>
    <w:p>
      <w:pPr>
        <w:pStyle w:val="Ttulo2"/>
      </w:pPr>
      <w:r>
        <w:t xml:space="preserve">Arquitectura SOA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53"/>
    <w:bookmarkEnd w:id="54"/>
    <w:bookmarkEnd w:id="55"/>
    <w:bookmarkStart w:id="56" w:name="fase-2-soa-objetivo"/>
    <w:p>
      <w:pPr>
        <w:pStyle w:val="Ttulo1"/>
      </w:pPr>
      <w:r>
        <w:t xml:space="preserve">Fase 2: SOA Objetivo</w:t>
      </w:r>
    </w:p>
    <w:bookmarkEnd w:id="56"/>
    <w:bookmarkStart w:id="57" w:name="X5c0c69e660e78a6abcb50f83e9ffaa519594cea"/>
    <w:p>
      <w:pPr>
        <w:pStyle w:val="Ttulo1"/>
      </w:pPr>
      <w:r>
        <w:t xml:space="preserve">Contenido de los Productos Contractuales, 181-2020</w:t>
      </w:r>
    </w:p>
    <w:bookmarkEnd w:id="57"/>
    <w:bookmarkStart w:id="64"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8" w:name="justificación-1"/>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58"/>
    <w:bookmarkStart w:id="59" w:name="contenidos-1"/>
    <w:p>
      <w:pPr>
        <w:pStyle w:val="Ttulo2"/>
      </w:pPr>
      <w:r>
        <w:t xml:space="preserve">Contenidos</w:t>
      </w:r>
    </w:p>
    <w:p>
      <w:pPr>
        <w:numPr>
          <w:ilvl w:val="0"/>
          <w:numId w:val="1004"/>
        </w:numPr>
        <w:pStyle w:val="Compact"/>
      </w:pPr>
      <w:r>
        <w:t xml:space="preserve">Definición de objetivos y capacidades del gobierno SOA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p>
      <w:pPr>
        <w:pStyle w:val="FirstParagraph"/>
      </w:pPr>
    </w:p>
    <w:bookmarkEnd w:id="59"/>
    <w:bookmarkStart w:id="61" w:name="criterios-de-aceptación-1"/>
    <w:p>
      <w:pPr>
        <w:pStyle w:val="Ttulo2"/>
      </w:pPr>
      <w:r>
        <w:t xml:space="preserve">Criterios de Aceptación</w:t>
      </w:r>
    </w:p>
    <w:p>
      <w:pPr>
        <w:numPr>
          <w:ilvl w:val="0"/>
          <w:numId w:val="1005"/>
        </w:numPr>
        <w:pStyle w:val="Compact"/>
      </w:pPr>
      <w:r>
        <w:t xml:space="preserve">Objetivos y capacidades del gobierno SOA para el Fondo</w:t>
      </w:r>
    </w:p>
    <w:p>
      <w:pPr>
        <w:numPr>
          <w:ilvl w:val="0"/>
          <w:numId w:val="1005"/>
        </w:numPr>
        <w:pStyle w:val="Compact"/>
      </w:pPr>
      <w:r>
        <w:t xml:space="preserve">Índices de efectividad (madurez) SOA 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y capacidades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849d888 del 28 Jan 2023</w:t>
            </w:r>
          </w:p>
        </w:tc>
      </w:tr>
      <w:tr>
        <w:tc>
          <w:tcPr/>
          <w:p>
            <w:pPr>
              <w:pStyle w:val="Compact"/>
              <w:jc w:val="left"/>
            </w:pPr>
            <w:r>
              <w:t xml:space="preserve">Vínculos</w:t>
            </w:r>
          </w:p>
        </w:tc>
        <w:tc>
          <w:tcPr/>
          <w:p>
            <w:pPr>
              <w:pStyle w:val="Compact"/>
              <w:jc w:val="left"/>
            </w:pPr>
            <w:hyperlink r:id="rId24">
              <w:r>
                <w:rPr>
                  <w:rStyle w:val="Hipervnculo"/>
                </w:rPr>
                <w:t xml:space="preserve">Fase 2 PR6 Gobierno SOA</w:t>
              </w:r>
            </w:hyperlink>
          </w:p>
        </w:tc>
      </w:tr>
    </w:tbl>
    <w:p>
      <w:pPr>
        <w:pStyle w:val="Textoindependiente"/>
      </w:pPr>
    </w:p>
    <w:p>
      <w:pPr>
        <w:pStyle w:val="Textoindependiente"/>
      </w:pPr>
      <w:r>
        <w:t xml:space="preserve">Dado los niveles de complejidad que el FNA ha alcanzado y por los riesgos tecnológico que contraen las partes analizadas en la Fase 1 de este diagnóstico (ver</w:t>
      </w:r>
      <w:r>
        <w:t xml:space="preserve"> </w:t>
      </w:r>
      <w:hyperlink r:id="rId24">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4">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4">
        <w:r>
          <w:rPr>
            <w:rStyle w:val="Hipervnculo"/>
          </w:rPr>
          <w:t xml:space="preserve">04b.Resumen Fase 1</w:t>
        </w:r>
      </w:hyperlink>
      <w:r>
        <w:t xml:space="preserve">).</w:t>
      </w:r>
    </w:p>
    <w:bookmarkStart w:id="60" w:name="objetivos-del-gobierno-soa-del-fna"/>
    <w:p>
      <w:pPr>
        <w:pStyle w:val="Ttulo3"/>
      </w:pPr>
      <w:r>
        <w:t xml:space="preserve">Objetivos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numPr>
          <w:ilvl w:val="0"/>
          <w:numId w:val="1006"/>
        </w:numPr>
        <w:pStyle w:val="Compact"/>
      </w:pPr>
      <w:r>
        <w:t xml:space="preserve">Vigilancia del riesgo tecnológico en estas vías: hacer seguimiento a la inversión tecnológica, el cual involucra a los provedores y colaboración con externos; evaluar y constatar la implementación de herramientas de software, la cual podría limitarse a servicios SOA; y finalmente, controlar la adopción de nuevos diseños, nuevos marcos de trabajo, librerías o componentes de terceros.</w:t>
      </w:r>
    </w:p>
    <w:p>
      <w:pPr>
        <w:numPr>
          <w:ilvl w:val="0"/>
          <w:numId w:val="1006"/>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Style w:val="Compact"/>
      </w:pPr>
      <w:r>
        <w:t xml:space="preserve">Vigilar y perseguir el aumento de los índices de efectividad SOA presentes en los análisis de madurez como el realizado en la Fase 1 del diagnóstico presentre (ver</w:t>
      </w:r>
      <w:r>
        <w:t xml:space="preserve"> </w:t>
      </w:r>
      <w:hyperlink r:id="rId24">
        <w:r>
          <w:rPr>
            <w:rStyle w:val="Hipervnculo"/>
          </w:rPr>
          <w:t xml:space="preserve">02.Fase 2 PR2 Estudio Madurez SOA FNA</w:t>
        </w:r>
      </w:hyperlink>
      <w:r>
        <w:t xml:space="preserve">).</w:t>
      </w:r>
    </w:p>
    <w:bookmarkEnd w:id="60"/>
    <w:bookmarkEnd w:id="61"/>
    <w:bookmarkStart w:id="63" w:name="anexos"/>
    <w:p>
      <w:pPr>
        <w:pStyle w:val="Ttulo2"/>
      </w:pPr>
      <w:r>
        <w:t xml:space="preserve">Anexos</w:t>
      </w:r>
    </w:p>
    <w:bookmarkStart w:id="62" w:name="procedimiento-del-área-ti-del-fna"/>
    <w:p>
      <w:pPr>
        <w:pStyle w:val="Ttulo3"/>
      </w:pPr>
      <w:r>
        <w:t xml:space="preserve">Procedimiento del Área TI del FNA</w:t>
      </w:r>
    </w:p>
    <w:bookmarkEnd w:id="62"/>
    <w:bookmarkEnd w:id="63"/>
    <w:bookmarkEnd w:id="64"/>
    <w:bookmarkStart w:id="65" w:name="fase-2-soa-objetivo-1"/>
    <w:p>
      <w:pPr>
        <w:pStyle w:val="Ttulo1"/>
      </w:pPr>
      <w:r>
        <w:t xml:space="preserve">Fase 2: SOA Objetivo</w:t>
      </w:r>
    </w:p>
    <w:bookmarkEnd w:id="65"/>
    <w:bookmarkStart w:id="66" w:name="X024845d8147b634bd34f6993612268e32f0d607"/>
    <w:p>
      <w:pPr>
        <w:pStyle w:val="Ttulo1"/>
      </w:pPr>
      <w:r>
        <w:t xml:space="preserve">Contenido de los Productos Contractuales, 181-2020</w:t>
      </w:r>
    </w:p>
    <w:bookmarkEnd w:id="66"/>
    <w:bookmarkStart w:id="70" w:name="Xe24ddf57927c1fa6bc423b34bc7462de8417695"/>
    <w:p>
      <w:pPr>
        <w:pStyle w:val="Ttulo1"/>
      </w:pPr>
      <w:r>
        <w:t xml:space="preserve">Producto 7: PR7.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7" w:name="justificación-2"/>
    <w:p>
      <w:pPr>
        <w:pStyle w:val="Ttulo2"/>
      </w:pPr>
      <w:r>
        <w:t xml:space="preserve">Justificación</w:t>
      </w:r>
    </w:p>
    <w:p>
      <w:pPr>
        <w:pStyle w:val="FirstParagraph"/>
      </w:pPr>
      <w:r>
        <w:t xml:space="preserve">Identificar los avances en el desarrollo SOA que impulsen a las iniciativas y propuestas de solución SOA para el FNA.</w:t>
      </w:r>
    </w:p>
    <w:bookmarkEnd w:id="67"/>
    <w:bookmarkStart w:id="68" w:name="contenidos-2"/>
    <w:p>
      <w:pPr>
        <w:pStyle w:val="Ttulo2"/>
      </w:pPr>
      <w:r>
        <w:t xml:space="preserve">Contenidos</w:t>
      </w:r>
    </w:p>
    <w:p>
      <w:pPr>
        <w:numPr>
          <w:ilvl w:val="0"/>
          <w:numId w:val="1007"/>
        </w:numPr>
        <w:pStyle w:val="Compact"/>
      </w:pPr>
      <w:r>
        <w:t xml:space="preserve">Lista tecnologías SOA afines al Fondo</w:t>
      </w:r>
    </w:p>
    <w:p>
      <w:pPr>
        <w:numPr>
          <w:ilvl w:val="0"/>
          <w:numId w:val="1007"/>
        </w:numPr>
        <w:pStyle w:val="Compact"/>
      </w:pPr>
      <w:r>
        <w:t xml:space="preserve">Lista de beneficios al FNA por las tecnologías seleccionadas</w:t>
      </w:r>
    </w:p>
    <w:p>
      <w:pPr>
        <w:numPr>
          <w:ilvl w:val="0"/>
          <w:numId w:val="1007"/>
        </w:numPr>
        <w:pStyle w:val="Compact"/>
      </w:pPr>
      <w:r>
        <w:t xml:space="preserve">Implicaciones para la adquisición y adopción tecnológica</w:t>
      </w:r>
    </w:p>
    <w:p>
      <w:pPr>
        <w:pStyle w:val="FirstParagraph"/>
      </w:pPr>
    </w:p>
    <w:bookmarkEnd w:id="68"/>
    <w:bookmarkStart w:id="69" w:name="criterios-de-aceptación-2"/>
    <w:p>
      <w:pPr>
        <w:pStyle w:val="Ttulo2"/>
      </w:pPr>
      <w:r>
        <w:t xml:space="preserve">Criterios de Aceptación</w:t>
      </w:r>
    </w:p>
    <w:p>
      <w:pPr>
        <w:numPr>
          <w:ilvl w:val="0"/>
          <w:numId w:val="1008"/>
        </w:numPr>
        <w:pStyle w:val="Compact"/>
      </w:pPr>
      <w:r>
        <w:t xml:space="preserve">Evaluación e Identificación de la tecnología SOA en alineación con los objetivos del proyecto</w:t>
      </w:r>
    </w:p>
    <w:p>
      <w:pPr>
        <w:numPr>
          <w:ilvl w:val="0"/>
          <w:numId w:val="1008"/>
        </w:numPr>
        <w:pStyle w:val="Compact"/>
      </w:pPr>
      <w:r>
        <w:t xml:space="preserve">Presentación de una arquitectura SOA candidata versión 1.1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849d888 del 28 Jan 2023</w:t>
            </w:r>
          </w:p>
        </w:tc>
      </w:tr>
      <w:tr>
        <w:tc>
          <w:tcPr/>
          <w:p>
            <w:pPr>
              <w:pStyle w:val="Compact"/>
              <w:jc w:val="left"/>
            </w:pPr>
            <w:r>
              <w:t xml:space="preserve">Vínculos</w:t>
            </w:r>
          </w:p>
        </w:tc>
        <w:tc>
          <w:tcPr/>
          <w:p>
            <w:pPr>
              <w:pStyle w:val="Compact"/>
              <w:jc w:val="left"/>
            </w:pPr>
            <w:hyperlink r:id="rId24">
              <w:r>
                <w:rPr>
                  <w:rStyle w:val="Hipervnculo"/>
                </w:rPr>
                <w:t xml:space="preserve">N003a Vista Segmento SOA FNA</w:t>
              </w:r>
            </w:hyperlink>
          </w:p>
        </w:tc>
      </w:tr>
    </w:tbl>
    <w:p>
      <w:pPr>
        <w:pStyle w:val="Textoindependiente"/>
      </w:pPr>
    </w:p>
    <w:bookmarkEnd w:id="69"/>
    <w:bookmarkEnd w:id="70"/>
    <w:bookmarkStart w:id="73" w:name="Xc661194b942662c596467c2a6efe0821b24b10d"/>
    <w:p>
      <w:pPr>
        <w:pStyle w:val="Ttulo1"/>
      </w:pPr>
      <w:r>
        <w:t xml:space="preserve">Estrategia de modelado e identificación de servicios</w:t>
      </w:r>
    </w:p>
    <w:bookmarkStart w:id="7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7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7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7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7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7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7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9"/>
        </w:numPr>
        <w:pStyle w:val="Compact"/>
      </w:pPr>
      <w:r>
        <w:t xml:space="preserve">Entity. Modela un elemento de forma individual Tiene un identificador único.</w:t>
      </w:r>
    </w:p>
    <w:p>
      <w:pPr>
        <w:numPr>
          <w:ilvl w:val="0"/>
          <w:numId w:val="1009"/>
        </w:numPr>
        <w:pStyle w:val="Compact"/>
      </w:pPr>
      <w:r>
        <w:t xml:space="preserve">Value Objects. Modela un concepto inmmutable, el cual no tiene identificador único. Usualmente se usa para describir, cuantificar o medir un Entity.</w:t>
      </w:r>
    </w:p>
    <w:p>
      <w:pPr>
        <w:numPr>
          <w:ilvl w:val="0"/>
          <w:numId w:val="1009"/>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7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10"/>
        </w:numPr>
        <w:pStyle w:val="Compact"/>
      </w:pPr>
      <w:r>
        <w:t xml:space="preserve">Las innvariantes de negocio se protegen dentro de un Aggregate</w:t>
      </w:r>
    </w:p>
    <w:p>
      <w:pPr>
        <w:numPr>
          <w:ilvl w:val="0"/>
          <w:numId w:val="1010"/>
        </w:numPr>
        <w:pStyle w:val="Compact"/>
      </w:pPr>
      <w:r>
        <w:t xml:space="preserve">Propender por diseñar Aggregates pequeños</w:t>
      </w:r>
    </w:p>
    <w:p>
      <w:pPr>
        <w:numPr>
          <w:ilvl w:val="0"/>
          <w:numId w:val="1010"/>
        </w:numPr>
        <w:pStyle w:val="Compact"/>
      </w:pPr>
      <w:r>
        <w:t xml:space="preserve">Solo se referencian otros aggregates por su identificador</w:t>
      </w:r>
    </w:p>
    <w:p>
      <w:pPr>
        <w:numPr>
          <w:ilvl w:val="0"/>
          <w:numId w:val="1010"/>
        </w:numPr>
        <w:pStyle w:val="Compact"/>
      </w:pPr>
      <w:r>
        <w:t xml:space="preserve">Los Aggregates se actualizan mediante la consistencia eventual</w:t>
      </w:r>
    </w:p>
    <w:bookmarkEnd w:id="72"/>
    <w:bookmarkEnd w:id="73"/>
    <w:bookmarkStart w:id="74" w:name="fase-2-soa-objetivo-2"/>
    <w:p>
      <w:pPr>
        <w:pStyle w:val="Ttulo1"/>
      </w:pPr>
      <w:r>
        <w:t xml:space="preserve">Fase 2: SOA Objetivo</w:t>
      </w:r>
    </w:p>
    <w:bookmarkEnd w:id="74"/>
    <w:bookmarkStart w:id="75" w:name="X07b3a00b5f5fc91de94900ce5498c32360db804"/>
    <w:p>
      <w:pPr>
        <w:pStyle w:val="Ttulo1"/>
      </w:pPr>
      <w:r>
        <w:t xml:space="preserve">Contenido de los Productos Contractuales, 181-2020</w:t>
      </w:r>
    </w:p>
    <w:bookmarkEnd w:id="75"/>
    <w:bookmarkStart w:id="79"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6" w:name="justificación-3"/>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76"/>
    <w:bookmarkStart w:id="77" w:name="contenidos-3"/>
    <w:p>
      <w:pPr>
        <w:pStyle w:val="Ttulo2"/>
      </w:pPr>
      <w:r>
        <w:t xml:space="preserve">Contenidos</w:t>
      </w:r>
    </w:p>
    <w:p>
      <w:pPr>
        <w:numPr>
          <w:ilvl w:val="0"/>
          <w:numId w:val="1011"/>
        </w:numPr>
        <w:pStyle w:val="Compact"/>
      </w:pPr>
      <w:r>
        <w:t xml:space="preserve">Arquitectura de referencia SOA FNA, versión 2.0</w:t>
      </w:r>
    </w:p>
    <w:p>
      <w:pPr>
        <w:numPr>
          <w:ilvl w:val="0"/>
          <w:numId w:val="1011"/>
        </w:numPr>
        <w:pStyle w:val="Compact"/>
      </w:pPr>
      <w:r>
        <w:t xml:space="preserve">Consideraciones para gobierno y adaptabilidad de la arquitectura 2.0</w:t>
      </w:r>
    </w:p>
    <w:p>
      <w:pPr>
        <w:numPr>
          <w:ilvl w:val="0"/>
          <w:numId w:val="1011"/>
        </w:numPr>
        <w:pStyle w:val="Compact"/>
      </w:pPr>
      <w:r>
        <w:t xml:space="preserve">Administración de requerimientos de arquitectura para evolución y mantenimiento</w:t>
      </w:r>
    </w:p>
    <w:p>
      <w:pPr>
        <w:numPr>
          <w:ilvl w:val="0"/>
          <w:numId w:val="1011"/>
        </w:numPr>
        <w:pStyle w:val="Compact"/>
      </w:pPr>
      <w:r>
        <w:t xml:space="preserve">Procedimientos de evaluación de la arquitectura candidata FNA (req. no funcionales)</w:t>
      </w:r>
    </w:p>
    <w:p>
      <w:pPr>
        <w:pStyle w:val="FirstParagraph"/>
      </w:pPr>
    </w:p>
    <w:bookmarkEnd w:id="77"/>
    <w:bookmarkStart w:id="78" w:name="criterios-de-aceptación-3"/>
    <w:p>
      <w:pPr>
        <w:pStyle w:val="Ttulo2"/>
      </w:pPr>
      <w:r>
        <w:t xml:space="preserve">Criterios de Aceptación</w:t>
      </w:r>
    </w:p>
    <w:p>
      <w:pPr>
        <w:numPr>
          <w:ilvl w:val="0"/>
          <w:numId w:val="1012"/>
        </w:numPr>
        <w:pStyle w:val="Compact"/>
      </w:pPr>
      <w:r>
        <w:t xml:space="preserve">Arquitectura de referencia SOA FNA, versión 2.0</w:t>
      </w:r>
    </w:p>
    <w:p>
      <w:pPr>
        <w:numPr>
          <w:ilvl w:val="0"/>
          <w:numId w:val="1012"/>
        </w:numPr>
        <w:pStyle w:val="Compact"/>
      </w:pPr>
      <w:r>
        <w:t xml:space="preserve">Articulación con gobierno SOA del FNA</w:t>
      </w:r>
    </w:p>
    <w:p>
      <w:r>
        <w:pict>
          <v:rect style="width:0;height:1.5pt" o:hralign="center" o:hrstd="t" o:hr="t"/>
        </w:pict>
      </w:r>
    </w:p>
    <w:bookmarkEnd w:id="78"/>
    <w:bookmarkEnd w:id="79"/>
    <w:bookmarkStart w:id="80" w:name="fase-2-soa-objetivo-3"/>
    <w:p>
      <w:pPr>
        <w:pStyle w:val="Ttulo1"/>
      </w:pPr>
      <w:r>
        <w:t xml:space="preserve">Fase 2: SOA Objetivo</w:t>
      </w:r>
    </w:p>
    <w:bookmarkEnd w:id="80"/>
    <w:bookmarkStart w:id="81" w:name="Xbe911d7c278a50d04b5b6b9edcb221ad80ef741"/>
    <w:p>
      <w:pPr>
        <w:pStyle w:val="Ttulo1"/>
      </w:pPr>
      <w:r>
        <w:t xml:space="preserve">Contenido de los Productos Contractuales, 181-2020</w:t>
      </w:r>
    </w:p>
    <w:bookmarkEnd w:id="81"/>
    <w:bookmarkStart w:id="86" w:name="Xef0c091f777f60025851df6142a75026dcb21f2"/>
    <w:p>
      <w:pPr>
        <w:pStyle w:val="Ttulo1"/>
      </w:pPr>
      <w:r>
        <w:t xml:space="preserve">Producto 8: PR8a. Portafolio de Inciativas y Brechas</w:t>
      </w:r>
    </w:p>
    <w:p>
      <w:pPr>
        <w:pStyle w:val="FirstParagraph"/>
      </w:pPr>
      <w:r>
        <w:t xml:space="preserve">La técnica del portafolio de brechas es utilizada en el desarrollo de este ejercicio de diagnóstico SOA del FNA para analizar la situación actual SOA (Fase 1 del proyecto) desde la perspectiva de proyectos ejecutables. La idea principal del análisis de brecha es resaltar los proyectos o ítems omitidos, o por definir, entre la situación actual SOA del FNA y la situación objetivo, incluso cuando esta última está todavía en evolución. Lo anterior da origen al portafolio de iniciativas priorizadas que ser ejecutadas cierra las brechas analizadas.</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83" w:name="justificación-4"/>
    <w:p>
      <w:pPr>
        <w:pStyle w:val="Ttulo2"/>
      </w:pPr>
      <w:r>
        <w:t xml:space="preserve">Justificación</w:t>
      </w:r>
    </w:p>
    <w:p>
      <w:pPr>
        <w:pStyle w:val="FirstParagraph"/>
      </w:pPr>
      <w:r>
        <w:t xml:space="preserve">Asegurar que la arquitectura SOA del Fondo apegada a la</w:t>
      </w:r>
      <w:r>
        <w:t xml:space="preserve"> </w:t>
      </w:r>
      <w:hyperlink r:id="rId82">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83"/>
    <w:bookmarkStart w:id="84" w:name="contenidos-4"/>
    <w:p>
      <w:pPr>
        <w:pStyle w:val="Ttulo2"/>
      </w:pPr>
      <w:r>
        <w:t xml:space="preserve">Contenidos</w:t>
      </w:r>
    </w:p>
    <w:p>
      <w:pPr>
        <w:numPr>
          <w:ilvl w:val="0"/>
          <w:numId w:val="1013"/>
        </w:numPr>
        <w:pStyle w:val="Compact"/>
      </w:pPr>
      <w:r>
        <w:t xml:space="preserve">Arquitectura SOA candidata para el segmento FNA (vista de segmento)</w:t>
      </w:r>
    </w:p>
    <w:p>
      <w:pPr>
        <w:numPr>
          <w:ilvl w:val="0"/>
          <w:numId w:val="1013"/>
        </w:numPr>
        <w:pStyle w:val="Compact"/>
      </w:pPr>
      <w:r>
        <w:t xml:space="preserve">Matriz de brechas de las partes del segmento FNA</w:t>
      </w:r>
    </w:p>
    <w:p>
      <w:pPr>
        <w:numPr>
          <w:ilvl w:val="0"/>
          <w:numId w:val="1013"/>
        </w:numPr>
        <w:pStyle w:val="Compact"/>
      </w:pPr>
      <w:r>
        <w:t xml:space="preserve">Bloques de cambios para el segmento FNA: ítems por retener, rediseñar, actualizar, retirar</w:t>
      </w:r>
    </w:p>
    <w:p>
      <w:pPr>
        <w:numPr>
          <w:ilvl w:val="0"/>
          <w:numId w:val="1013"/>
        </w:numPr>
        <w:pStyle w:val="Compact"/>
      </w:pPr>
      <w:r>
        <w:t xml:space="preserve">Análisis de impacto y dependencia entre los cambios en el segmento de la empresa</w:t>
      </w:r>
    </w:p>
    <w:p>
      <w:pPr>
        <w:numPr>
          <w:ilvl w:val="0"/>
          <w:numId w:val="1013"/>
        </w:numPr>
        <w:pStyle w:val="Compact"/>
      </w:pPr>
      <w:r>
        <w:t xml:space="preserve">Ficha descriptiva de iniciativas de mejora para el segmento FNA (justificación)</w:t>
      </w:r>
    </w:p>
    <w:p>
      <w:pPr>
        <w:numPr>
          <w:ilvl w:val="0"/>
          <w:numId w:val="1013"/>
        </w:numPr>
        <w:pStyle w:val="Compact"/>
      </w:pPr>
      <w:r>
        <w:t xml:space="preserve">Hoja de ruta preliminar hacia un objetivo de mejora</w:t>
      </w:r>
    </w:p>
    <w:p>
      <w:pPr>
        <w:pStyle w:val="FirstParagraph"/>
      </w:pPr>
    </w:p>
    <w:bookmarkEnd w:id="84"/>
    <w:bookmarkStart w:id="85" w:name="criterios-de-aceptación-4"/>
    <w:p>
      <w:pPr>
        <w:pStyle w:val="Ttulo2"/>
      </w:pPr>
      <w:r>
        <w:t xml:space="preserve">Criterios de Aceptación</w:t>
      </w:r>
    </w:p>
    <w:p>
      <w:pPr>
        <w:numPr>
          <w:ilvl w:val="0"/>
          <w:numId w:val="1014"/>
        </w:numPr>
        <w:pStyle w:val="Compact"/>
      </w:pPr>
      <w:r>
        <w:t xml:space="preserve">Lista de cambios para el segmento FNA: ítems incluídos, por mejorar, nuevos y eliminados</w:t>
      </w:r>
    </w:p>
    <w:p>
      <w:pPr>
        <w:numPr>
          <w:ilvl w:val="0"/>
          <w:numId w:val="1014"/>
        </w:numPr>
        <w:pStyle w:val="Compact"/>
      </w:pPr>
      <w:r>
        <w:t xml:space="preserve">Hoja de ruta preliminar hacia un objetivo de mejora</w:t>
      </w:r>
    </w:p>
    <w:p>
      <w:r>
        <w:pict>
          <v:rect style="width:0;height:1.5pt" o:hralign="center" o:hrstd="t" o:hr="t"/>
        </w:pict>
      </w:r>
    </w:p>
    <w:bookmarkEnd w:id="85"/>
    <w:bookmarkEnd w:id="8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71" Target="" TargetMode="External" /><Relationship Type="http://schemas.openxmlformats.org/officeDocument/2006/relationships/hyperlink" Id="rId24" Target="N03a%a20Vsta%20aSegenta%20SOA%20FNA.md" TargetMode="External" /><Relationship Type="http://schemas.openxmlformats.org/officeDocument/2006/relationships/hyperlink" Id="rId82"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71" Target="" TargetMode="External" /><Relationship Type="http://schemas.openxmlformats.org/officeDocument/2006/relationships/hyperlink" Id="rId24" Target="N03a%a20Vsta%20aSegenta%20SOA%20FNA.md" TargetMode="External" /><Relationship Type="http://schemas.openxmlformats.org/officeDocument/2006/relationships/hyperlink" Id="rId82"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2023-01-28T22:23:38Z</dcterms:created>
  <dcterms:modified xsi:type="dcterms:W3CDTF">2023-01-28T22:23:38Z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