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bookmarkEnd w:id="24"/>
    <w:bookmarkEnd w:id="25"/>
    <w:bookmarkStart w:id="55"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r>
        <w:t xml:space="preserve">…</w:t>
      </w:r>
    </w:p>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1"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0"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024845d8147b634bd34f6993612268e32f0d607"/>
    <w:p>
      <w:pPr>
        <w:pStyle w:val="Ttulo1"/>
      </w:pPr>
      <w:r>
        <w:t xml:space="preserve">Contenido de los Productos Contractuales, 181-2020</w:t>
      </w:r>
    </w:p>
    <w:bookmarkEnd w:id="63"/>
    <w:bookmarkStart w:id="67"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4"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4"/>
    <w:bookmarkStart w:id="65" w:name="contenidos-2"/>
    <w:p>
      <w:pPr>
        <w:pStyle w:val="Ttulo2"/>
      </w:pPr>
      <w:r>
        <w:t xml:space="preserve">Contenidos</w:t>
      </w:r>
    </w:p>
    <w:p>
      <w:pPr>
        <w:numPr>
          <w:ilvl w:val="0"/>
          <w:numId w:val="1006"/>
        </w:numPr>
        <w:pStyle w:val="Compact"/>
      </w:pPr>
      <w:r>
        <w:t xml:space="preserve">Lista tecnologías SOA afines al Fondo</w:t>
      </w:r>
    </w:p>
    <w:p>
      <w:pPr>
        <w:numPr>
          <w:ilvl w:val="0"/>
          <w:numId w:val="1006"/>
        </w:numPr>
        <w:pStyle w:val="Compact"/>
      </w:pPr>
      <w:r>
        <w:t xml:space="preserve">Lista de beneficios al FNA por las tecnologías seleccionadas</w:t>
      </w:r>
    </w:p>
    <w:p>
      <w:pPr>
        <w:numPr>
          <w:ilvl w:val="0"/>
          <w:numId w:val="1006"/>
        </w:numPr>
        <w:pStyle w:val="Compact"/>
      </w:pPr>
      <w:r>
        <w:t xml:space="preserve">Implicaciones para la adquisición y adopción tecnológica</w:t>
      </w:r>
    </w:p>
    <w:p>
      <w:pPr>
        <w:pStyle w:val="FirstParagraph"/>
      </w:pPr>
    </w:p>
    <w:bookmarkEnd w:id="65"/>
    <w:bookmarkStart w:id="66" w:name="criterios-de-aceptación-2"/>
    <w:p>
      <w:pPr>
        <w:pStyle w:val="Ttulo2"/>
      </w:pPr>
      <w:r>
        <w:t xml:space="preserve">Criterios de Aceptación</w:t>
      </w:r>
    </w:p>
    <w:p>
      <w:pPr>
        <w:numPr>
          <w:ilvl w:val="0"/>
          <w:numId w:val="1007"/>
        </w:numPr>
        <w:pStyle w:val="Compact"/>
      </w:pPr>
      <w:r>
        <w:t xml:space="preserve">Evaluación e Identificación de la tecnología SOA en alineación con los objetivos del proyecto</w:t>
      </w:r>
    </w:p>
    <w:p>
      <w:pPr>
        <w:numPr>
          <w:ilvl w:val="0"/>
          <w:numId w:val="1007"/>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66"/>
    <w:bookmarkEnd w:id="67"/>
    <w:bookmarkStart w:id="70" w:name="Xc661194b942662c596467c2a6efe0821b24b10d"/>
    <w:p>
      <w:pPr>
        <w:pStyle w:val="Ttulo1"/>
      </w:pPr>
      <w:r>
        <w:t xml:space="preserve">Estrategia de modelado e identificación de servicios</w:t>
      </w:r>
    </w:p>
    <w:bookmarkStart w:id="69"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8"/>
        </w:numPr>
        <w:pStyle w:val="Compact"/>
      </w:pPr>
      <w:r>
        <w:t xml:space="preserve">Entity. Modela un elemento de forma individual Tiene un identificador único.</w:t>
      </w:r>
    </w:p>
    <w:p>
      <w:pPr>
        <w:numPr>
          <w:ilvl w:val="0"/>
          <w:numId w:val="1008"/>
        </w:numPr>
        <w:pStyle w:val="Compact"/>
      </w:pPr>
      <w:r>
        <w:t xml:space="preserve">Value Objects. Modela un concepto inmmutable, el cual no tiene identificador único. Usualmente se usa para describir, cuantificar o medir un Entity.</w:t>
      </w:r>
    </w:p>
    <w:p>
      <w:pPr>
        <w:numPr>
          <w:ilvl w:val="0"/>
          <w:numId w:val="1008"/>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9"/>
        </w:numPr>
        <w:pStyle w:val="Compact"/>
      </w:pPr>
      <w:r>
        <w:t xml:space="preserve">Las innvariantes de negocio se protegen dentro de un Aggregate</w:t>
      </w:r>
    </w:p>
    <w:p>
      <w:pPr>
        <w:numPr>
          <w:ilvl w:val="0"/>
          <w:numId w:val="1009"/>
        </w:numPr>
        <w:pStyle w:val="Compact"/>
      </w:pPr>
      <w:r>
        <w:t xml:space="preserve">Propender por diseñar Aggregates pequeños</w:t>
      </w:r>
    </w:p>
    <w:p>
      <w:pPr>
        <w:numPr>
          <w:ilvl w:val="0"/>
          <w:numId w:val="1009"/>
        </w:numPr>
        <w:pStyle w:val="Compact"/>
      </w:pPr>
      <w:r>
        <w:t xml:space="preserve">Solo se referencian otros aggregates por su identificador</w:t>
      </w:r>
    </w:p>
    <w:p>
      <w:pPr>
        <w:numPr>
          <w:ilvl w:val="0"/>
          <w:numId w:val="1009"/>
        </w:numPr>
        <w:pStyle w:val="Compact"/>
      </w:pPr>
      <w:r>
        <w:t xml:space="preserve">Los Aggregates se actualizan mediante la consistencia eventual</w:t>
      </w:r>
    </w:p>
    <w:bookmarkEnd w:id="69"/>
    <w:bookmarkEnd w:id="70"/>
    <w:bookmarkStart w:id="71" w:name="fase-2-soa-objetivo-2"/>
    <w:p>
      <w:pPr>
        <w:pStyle w:val="Ttulo1"/>
      </w:pPr>
      <w:r>
        <w:t xml:space="preserve">Fase 2: SOA Objetivo</w:t>
      </w:r>
    </w:p>
    <w:bookmarkEnd w:id="71"/>
    <w:bookmarkStart w:id="72" w:name="X07b3a00b5f5fc91de94900ce5498c32360db804"/>
    <w:p>
      <w:pPr>
        <w:pStyle w:val="Ttulo1"/>
      </w:pPr>
      <w:r>
        <w:t xml:space="preserve">Contenido de los Productos Contractuales, 181-2020</w:t>
      </w:r>
    </w:p>
    <w:bookmarkEnd w:id="72"/>
    <w:bookmarkStart w:id="76"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3"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3"/>
    <w:bookmarkStart w:id="74" w:name="contenidos-3"/>
    <w:p>
      <w:pPr>
        <w:pStyle w:val="Ttulo2"/>
      </w:pPr>
      <w:r>
        <w:t xml:space="preserve">Contenidos</w:t>
      </w:r>
    </w:p>
    <w:p>
      <w:pPr>
        <w:numPr>
          <w:ilvl w:val="0"/>
          <w:numId w:val="1010"/>
        </w:numPr>
        <w:pStyle w:val="Compact"/>
      </w:pPr>
      <w:r>
        <w:t xml:space="preserve">Arquitectura de referencia SOA FNA, versión 2.0</w:t>
      </w:r>
    </w:p>
    <w:p>
      <w:pPr>
        <w:numPr>
          <w:ilvl w:val="0"/>
          <w:numId w:val="1010"/>
        </w:numPr>
        <w:pStyle w:val="Compact"/>
      </w:pPr>
      <w:r>
        <w:t xml:space="preserve">Consideraciones para gobierno y adaptabilidad de la arquitectura 2.0</w:t>
      </w:r>
    </w:p>
    <w:p>
      <w:pPr>
        <w:numPr>
          <w:ilvl w:val="0"/>
          <w:numId w:val="1010"/>
        </w:numPr>
        <w:pStyle w:val="Compact"/>
      </w:pPr>
      <w:r>
        <w:t xml:space="preserve">Administración de requerimientos de arquitectura para evolución y mantenimiento</w:t>
      </w:r>
    </w:p>
    <w:p>
      <w:pPr>
        <w:numPr>
          <w:ilvl w:val="0"/>
          <w:numId w:val="1010"/>
        </w:numPr>
        <w:pStyle w:val="Compact"/>
      </w:pPr>
      <w:r>
        <w:t xml:space="preserve">Procedimientos de evaluación de la arquitectura candidata FNA (req. no funcionales)</w:t>
      </w:r>
    </w:p>
    <w:p>
      <w:pPr>
        <w:pStyle w:val="FirstParagraph"/>
      </w:pPr>
    </w:p>
    <w:bookmarkEnd w:id="74"/>
    <w:bookmarkStart w:id="75" w:name="criterios-de-aceptación-3"/>
    <w:p>
      <w:pPr>
        <w:pStyle w:val="Ttulo2"/>
      </w:pPr>
      <w:r>
        <w:t xml:space="preserve">Criterios de Aceptación</w:t>
      </w:r>
    </w:p>
    <w:p>
      <w:pPr>
        <w:numPr>
          <w:ilvl w:val="0"/>
          <w:numId w:val="1011"/>
        </w:numPr>
        <w:pStyle w:val="Compact"/>
      </w:pPr>
      <w:r>
        <w:t xml:space="preserve">Arquitectura de referencia SOA FNA, versión 2.0</w:t>
      </w:r>
    </w:p>
    <w:p>
      <w:pPr>
        <w:numPr>
          <w:ilvl w:val="0"/>
          <w:numId w:val="1011"/>
        </w:numPr>
        <w:pStyle w:val="Compact"/>
      </w:pPr>
      <w:r>
        <w:t xml:space="preserve">Articulación con gobierno SOA del FNA</w:t>
      </w:r>
    </w:p>
    <w:p>
      <w:r>
        <w:pict>
          <v:rect style="width:0;height:1.5pt" o:hralign="center" o:hrstd="t" o:hr="t"/>
        </w:pict>
      </w:r>
    </w:p>
    <w:bookmarkEnd w:id="75"/>
    <w:bookmarkEnd w:id="76"/>
    <w:bookmarkStart w:id="77" w:name="fase-2-soa-objetivo-3"/>
    <w:p>
      <w:pPr>
        <w:pStyle w:val="Ttulo1"/>
      </w:pPr>
      <w:r>
        <w:t xml:space="preserve">Fase 2: SOA Objetivo</w:t>
      </w:r>
    </w:p>
    <w:bookmarkEnd w:id="77"/>
    <w:bookmarkStart w:id="78" w:name="Xbe911d7c278a50d04b5b6b9edcb221ad80ef741"/>
    <w:p>
      <w:pPr>
        <w:pStyle w:val="Ttulo1"/>
      </w:pPr>
      <w:r>
        <w:t xml:space="preserve">Contenido de los Productos Contractuales, 181-2020</w:t>
      </w:r>
    </w:p>
    <w:bookmarkEnd w:id="78"/>
    <w:bookmarkStart w:id="83"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0" w:name="justificación-4"/>
    <w:p>
      <w:pPr>
        <w:pStyle w:val="Ttulo2"/>
      </w:pPr>
      <w:r>
        <w:t xml:space="preserve">Justificación</w:t>
      </w:r>
    </w:p>
    <w:p>
      <w:pPr>
        <w:pStyle w:val="FirstParagraph"/>
      </w:pPr>
      <w:r>
        <w:t xml:space="preserve">Asegurar que la arquitectura SOA del Fondo apegada a la</w:t>
      </w:r>
      <w:r>
        <w:t xml:space="preserve"> </w:t>
      </w:r>
      <w:hyperlink r:id="rId7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0"/>
    <w:bookmarkStart w:id="81" w:name="contenidos-4"/>
    <w:p>
      <w:pPr>
        <w:pStyle w:val="Ttulo2"/>
      </w:pPr>
      <w:r>
        <w:t xml:space="preserve">Contenidos</w:t>
      </w:r>
    </w:p>
    <w:p>
      <w:pPr>
        <w:numPr>
          <w:ilvl w:val="0"/>
          <w:numId w:val="1012"/>
        </w:numPr>
        <w:pStyle w:val="Compact"/>
      </w:pPr>
      <w:r>
        <w:t xml:space="preserve">Arquitectura SOA candidata para el segmento FNA (vista de segmento)</w:t>
      </w:r>
    </w:p>
    <w:p>
      <w:pPr>
        <w:numPr>
          <w:ilvl w:val="0"/>
          <w:numId w:val="1012"/>
        </w:numPr>
        <w:pStyle w:val="Compact"/>
      </w:pPr>
      <w:r>
        <w:t xml:space="preserve">Matriz de brechas de las partes del segmento FNA</w:t>
      </w:r>
    </w:p>
    <w:p>
      <w:pPr>
        <w:numPr>
          <w:ilvl w:val="0"/>
          <w:numId w:val="1012"/>
        </w:numPr>
        <w:pStyle w:val="Compact"/>
      </w:pPr>
      <w:r>
        <w:t xml:space="preserve">Bloques de cambios para el segmento FNA: ítems por retener, rediseñar, actualizar, retirar</w:t>
      </w:r>
    </w:p>
    <w:p>
      <w:pPr>
        <w:numPr>
          <w:ilvl w:val="0"/>
          <w:numId w:val="1012"/>
        </w:numPr>
        <w:pStyle w:val="Compact"/>
      </w:pPr>
      <w:r>
        <w:t xml:space="preserve">Análisis de impacto y dependencia entre los cambios en el segmento de la empresa</w:t>
      </w:r>
    </w:p>
    <w:p>
      <w:pPr>
        <w:numPr>
          <w:ilvl w:val="0"/>
          <w:numId w:val="1012"/>
        </w:numPr>
        <w:pStyle w:val="Compact"/>
      </w:pPr>
      <w:r>
        <w:t xml:space="preserve">Ficha descriptiva de iniciativas de mejora para el segmento FNA (justificación)</w:t>
      </w:r>
    </w:p>
    <w:p>
      <w:pPr>
        <w:numPr>
          <w:ilvl w:val="0"/>
          <w:numId w:val="1012"/>
        </w:numPr>
        <w:pStyle w:val="Compact"/>
      </w:pPr>
      <w:r>
        <w:t xml:space="preserve">Hoja de ruta preliminar hacia un objetivo de mejora</w:t>
      </w:r>
    </w:p>
    <w:p>
      <w:pPr>
        <w:pStyle w:val="FirstParagraph"/>
      </w:pPr>
    </w:p>
    <w:bookmarkEnd w:id="81"/>
    <w:bookmarkStart w:id="82" w:name="criterios-de-aceptación-4"/>
    <w:p>
      <w:pPr>
        <w:pStyle w:val="Ttulo2"/>
      </w:pPr>
      <w:r>
        <w:t xml:space="preserve">Criterios de Aceptación</w:t>
      </w:r>
    </w:p>
    <w:p>
      <w:pPr>
        <w:numPr>
          <w:ilvl w:val="0"/>
          <w:numId w:val="1013"/>
        </w:numPr>
        <w:pStyle w:val="Compact"/>
      </w:pPr>
      <w:r>
        <w:t xml:space="preserve">Lista de cambios para el segmento FNA: ítems incluídos, por mejorar, nuevos y eliminados</w:t>
      </w:r>
    </w:p>
    <w:p>
      <w:pPr>
        <w:numPr>
          <w:ilvl w:val="0"/>
          <w:numId w:val="1013"/>
        </w:numPr>
        <w:pStyle w:val="Compact"/>
      </w:pPr>
      <w:r>
        <w:t xml:space="preserve">Hoja de ruta preliminar hacia un objetivo de mejora</w:t>
      </w:r>
    </w:p>
    <w:p>
      <w:r>
        <w:pict>
          <v:rect style="width:0;height:1.5pt" o:hralign="center" o:hrstd="t" o:hr="t"/>
        </w:pict>
      </w:r>
    </w:p>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2023-01-15T23:46:04Z</dcterms:created>
  <dcterms:modified xsi:type="dcterms:W3CDTF">2023-01-15T23:46:04Z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