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bookmarkStart w:id="20" w:name="fase-1-estado-soa-actual"/>
    <w:p>
      <w:pPr>
        <w:pStyle w:val="Ttulo1"/>
      </w:pPr>
      <w:r>
        <w:t xml:space="preserve">Fase 1: Estado SOA Actual</w:t>
      </w:r>
    </w:p>
    <w:bookmarkEnd w:id="20"/>
    <w:bookmarkStart w:id="21" w:name="Xde28353806a99316a61e306cd812fd556109b6d"/>
    <w:p>
      <w:pPr>
        <w:pStyle w:val="Ttulo1"/>
      </w:pPr>
      <w:r>
        <w:t xml:space="preserve">Contenido de los Productos Contractuales, 181-2020</w:t>
      </w:r>
    </w:p>
    <w:bookmarkEnd w:id="21"/>
    <w:bookmarkStart w:id="26" w:name="X5729dbf0db6066b30f53e9af5c9edee5e592600"/>
    <w:p>
      <w:pPr>
        <w:pStyle w:val="Ttulo1"/>
      </w:pPr>
      <w:r>
        <w:t xml:space="preserve">Producto 6: PR6. Comparativa de la industria y el FNA</w:t>
      </w:r>
    </w:p>
    <w:p>
      <w:pPr>
        <w:pStyle w:val="FirstParagraph"/>
      </w:pPr>
      <w:r>
        <w:t xml:space="preserve">Describir y comparar con el Fondo la manera cómo las empresas del segmento y de otros sectores de la industria enfrentan los retos de flexibilidad de negocio, independencia de proveedor tecnológico, y fortaleza SOA.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22" w:name="justificación"/>
    <w:p>
      <w:pPr>
        <w:pStyle w:val="Ttulo2"/>
      </w:pPr>
      <w:r>
        <w:t xml:space="preserve">Justificación</w:t>
      </w:r>
    </w:p>
    <w:p>
      <w:pPr>
        <w:pStyle w:val="FirstParagraph"/>
      </w:pPr>
      <w:r>
        <w:t xml:space="preserve">La comparativa SOA de la industria proveerá al Fondo de hallazgos aplicables a sus procesos y productos. A la vez, esta información de guía puede ser traducida en futuras iniciativas pertenecientes a la hoja de ruta de mejora, tanto del gobierno como de los procesos SOA del Fondo.</w:t>
      </w:r>
    </w:p>
    <w:bookmarkEnd w:id="22"/>
    <w:bookmarkStart w:id="23" w:name="contenidos"/>
    <w:p>
      <w:pPr>
        <w:pStyle w:val="Ttulo2"/>
      </w:pPr>
      <w:r>
        <w:t xml:space="preserve">Contenidos</w:t>
      </w:r>
    </w:p>
    <w:p>
      <w:pPr>
        <w:numPr>
          <w:ilvl w:val="0"/>
          <w:numId w:val="1001"/>
        </w:numPr>
        <w:pStyle w:val="Compact"/>
      </w:pPr>
      <w:r>
        <w:t xml:space="preserve">Niveles de adopción SOA en las organizaciones</w:t>
      </w:r>
    </w:p>
    <w:p>
      <w:pPr>
        <w:numPr>
          <w:ilvl w:val="0"/>
          <w:numId w:val="1001"/>
        </w:numPr>
        <w:pStyle w:val="Compact"/>
      </w:pPr>
      <w:r>
        <w:t xml:space="preserve">Focos de implementación SOA que pueden lograr las empresas</w:t>
      </w:r>
    </w:p>
    <w:p>
      <w:pPr>
        <w:numPr>
          <w:ilvl w:val="0"/>
          <w:numId w:val="1001"/>
        </w:numPr>
        <w:pStyle w:val="Compact"/>
      </w:pPr>
      <w:r>
        <w:t xml:space="preserve">Retornos de inversión (ROI) SOA posibles</w:t>
      </w:r>
    </w:p>
    <w:p>
      <w:pPr>
        <w:numPr>
          <w:ilvl w:val="0"/>
          <w:numId w:val="1001"/>
        </w:numPr>
        <w:pStyle w:val="Compact"/>
      </w:pPr>
      <w:r>
        <w:t xml:space="preserve">Retos que las empresas han superado por la implementación SOA</w:t>
      </w:r>
    </w:p>
    <w:p>
      <w:pPr>
        <w:numPr>
          <w:ilvl w:val="0"/>
          <w:numId w:val="1001"/>
        </w:numPr>
        <w:pStyle w:val="Compact"/>
      </w:pPr>
      <w:r>
        <w:t xml:space="preserve">Ventajas de rendimiento percibidas en las empresas por la implementación SOA</w:t>
      </w:r>
    </w:p>
    <w:p>
      <w:pPr>
        <w:numPr>
          <w:ilvl w:val="0"/>
          <w:numId w:val="1001"/>
        </w:numPr>
        <w:pStyle w:val="Compact"/>
      </w:pPr>
      <w:r>
        <w:t xml:space="preserve">Conclusiones de la comparativa: oportunidades SOA para el FNA</w:t>
      </w:r>
    </w:p>
    <w:p>
      <w:pPr>
        <w:pStyle w:val="FirstParagraph"/>
      </w:pPr>
    </w:p>
    <w:bookmarkEnd w:id="23"/>
    <w:bookmarkStart w:id="25" w:name="criterios-de-aceptación"/>
    <w:p>
      <w:pPr>
        <w:pStyle w:val="Ttulo2"/>
      </w:pPr>
      <w:r>
        <w:t xml:space="preserve">Criterios de Aceptación</w:t>
      </w:r>
    </w:p>
    <w:p>
      <w:pPr>
        <w:numPr>
          <w:ilvl w:val="0"/>
          <w:numId w:val="1002"/>
        </w:numPr>
        <w:pStyle w:val="Compact"/>
      </w:pPr>
      <w:r>
        <w:t xml:space="preserve">Lista de oportunidades e iniciativas ralizables por el FNA</w:t>
      </w:r>
    </w:p>
    <w:p>
      <w:pPr>
        <w:numPr>
          <w:ilvl w:val="0"/>
          <w:numId w:val="1002"/>
        </w:numPr>
        <w:pStyle w:val="Compact"/>
      </w:pPr>
      <w:r>
        <w:t xml:space="preserve">Mejoras visibles para las capacidades de la arquitectura SOA del Fondo</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jc w:val="left"/>
            </w:pPr>
            <w:hyperlink r:id="rId24">
              <w:r>
                <w:rPr>
                  <w:rStyle w:val="Hipervnculo"/>
                </w:rPr>
                <w:t xml:space="preserve">N003a Vista Segmento SOA FNA</w:t>
              </w:r>
            </w:hyperlink>
          </w:p>
        </w:tc>
      </w:tr>
    </w:tbl>
    <w:p>
      <w:pPr>
        <w:pStyle w:val="Textoindependiente"/>
      </w:pPr>
    </w:p>
    <w:bookmarkEnd w:id="25"/>
    <w:bookmarkEnd w:id="26"/>
    <w:bookmarkStart w:id="55" w:name="comparación-soa-fna---sector"/>
    <w:p>
      <w:pPr>
        <w:pStyle w:val="Ttulo1"/>
      </w:pPr>
      <w:r>
        <w:t xml:space="preserve">Comparación SOA FNA - Sector</w:t>
      </w:r>
    </w:p>
    <w:p>
      <w:pPr>
        <w:pStyle w:val="FirstParagraph"/>
      </w:pPr>
      <w:r>
        <w:t xml:space="preserve">Para presentar este análisis comparativo se han selecionado algunas dimensiones que facilitan la presentación de la comparación en categorías.</w:t>
      </w:r>
    </w:p>
    <w:p>
      <w:pPr>
        <w:pStyle w:val="Textoindependiente"/>
      </w:pPr>
      <w:r>
        <w:t xml:space="preserve">Los aspectos a tener en cuenta en la comparativa serán:</w:t>
      </w:r>
    </w:p>
    <w:p>
      <w:pPr>
        <w:numPr>
          <w:ilvl w:val="0"/>
          <w:numId w:val="1003"/>
        </w:numPr>
        <w:pStyle w:val="Compact"/>
      </w:pPr>
      <w:r>
        <w:t xml:space="preserve">Arquitectura</w:t>
      </w:r>
    </w:p>
    <w:p>
      <w:pPr>
        <w:numPr>
          <w:ilvl w:val="0"/>
          <w:numId w:val="1003"/>
        </w:numPr>
        <w:pStyle w:val="Compact"/>
      </w:pPr>
      <w:r>
        <w:t xml:space="preserve">Portafolio de Servicios</w:t>
      </w:r>
    </w:p>
    <w:p>
      <w:pPr>
        <w:numPr>
          <w:ilvl w:val="0"/>
          <w:numId w:val="1003"/>
        </w:numPr>
        <w:pStyle w:val="Compact"/>
      </w:pPr>
      <w:r>
        <w:t xml:space="preserve">Gobierno SOA</w:t>
      </w:r>
    </w:p>
    <w:p>
      <w:pPr>
        <w:numPr>
          <w:ilvl w:val="0"/>
          <w:numId w:val="1003"/>
        </w:numPr>
        <w:pStyle w:val="Compact"/>
      </w:pPr>
      <w:r>
        <w:t xml:space="preserve">Estrategia de Versionamiento</w:t>
      </w:r>
    </w:p>
    <w:p>
      <w:pPr>
        <w:numPr>
          <w:ilvl w:val="0"/>
          <w:numId w:val="1003"/>
        </w:numPr>
        <w:pStyle w:val="Compact"/>
      </w:pPr>
      <w:r>
        <w:t xml:space="preserve">Monitoreo y Operación</w:t>
      </w:r>
    </w:p>
    <w:p>
      <w:pPr>
        <w:numPr>
          <w:ilvl w:val="0"/>
          <w:numId w:val="1003"/>
        </w:numPr>
        <w:pStyle w:val="Compact"/>
      </w:pPr>
      <w:r>
        <w:t xml:space="preserve">Mantenimiento y Evolución</w:t>
      </w:r>
    </w:p>
    <w:p>
      <w:pPr>
        <w:numPr>
          <w:ilvl w:val="0"/>
          <w:numId w:val="1003"/>
        </w:numPr>
        <w:pStyle w:val="Compact"/>
      </w:pPr>
      <w:r>
        <w:t xml:space="preserve">Nuevas tecnologías</w:t>
      </w:r>
    </w:p>
    <w:p>
      <w:pPr>
        <w:pStyle w:val="FirstParagraph"/>
      </w:pPr>
    </w:p>
    <w:p>
      <w:pPr>
        <w:pStyle w:val="Textoindependiente"/>
      </w:pPr>
      <w:r>
        <w:t xml:space="preserve">Cada uno de estos aspectos los presentaremos primero desde el sector financiero en general y, posteriormente, serán aplicados al FNA.</w:t>
      </w:r>
    </w:p>
    <w:p>
      <w:pPr>
        <w:pStyle w:val="Textoindependiente"/>
      </w:pPr>
    </w:p>
    <w:bookmarkStart w:id="30" w:name="arquitectura"/>
    <w:p>
      <w:pPr>
        <w:pStyle w:val="Ttulo2"/>
      </w:pPr>
      <w:r>
        <w:t xml:space="preserve">Arquitectura</w:t>
      </w:r>
    </w:p>
    <w:bookmarkStart w:id="27"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7"/>
    <w:bookmarkStart w:id="28"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8"/>
    <w:bookmarkStart w:id="29" w:name="comparativa-fna"/>
    <w:p>
      <w:pPr>
        <w:pStyle w:val="Ttulo3"/>
      </w:pPr>
      <w:r>
        <w:t xml:space="preserve">Comparativa FNA</w:t>
      </w:r>
    </w:p>
    <w:p>
      <w:pPr>
        <w:pStyle w:val="FirstParagraph"/>
      </w:pPr>
      <w:r>
        <w:t xml:space="preserve">…</w:t>
      </w:r>
    </w:p>
    <w:p>
      <w:pPr>
        <w:pStyle w:val="Textoindependiente"/>
      </w:pPr>
    </w:p>
    <w:bookmarkEnd w:id="29"/>
    <w:bookmarkEnd w:id="30"/>
    <w:bookmarkStart w:id="34" w:name="portafolio-de-servicios"/>
    <w:p>
      <w:pPr>
        <w:pStyle w:val="Ttulo2"/>
      </w:pPr>
      <w:r>
        <w:t xml:space="preserve">Portafolio de Servicios</w:t>
      </w:r>
    </w:p>
    <w:bookmarkStart w:id="31"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31"/>
    <w:bookmarkStart w:id="32" w:name="mejores-prácticas-en-el-sector"/>
    <w:p>
      <w:pPr>
        <w:pStyle w:val="Ttulo3"/>
      </w:pPr>
      <w:r>
        <w:t xml:space="preserve">Mejores prácticas en el sector</w:t>
      </w:r>
    </w:p>
    <w:p>
      <w:pPr>
        <w:pStyle w:val="FirstParagraph"/>
      </w:pPr>
      <w:r>
        <w:t xml:space="preserve">Herramientas para el manejo del portafolio de servicios</w:t>
      </w:r>
      <w:r>
        <w:t xml:space="preserve"> </w:t>
      </w:r>
      <w:r>
        <w:t xml:space="preserve">Gobierno del portafolio de servicios</w:t>
      </w:r>
    </w:p>
    <w:bookmarkEnd w:id="32"/>
    <w:bookmarkStart w:id="33" w:name="comparativa-fna-1"/>
    <w:p>
      <w:pPr>
        <w:pStyle w:val="Ttulo3"/>
      </w:pPr>
      <w:r>
        <w:t xml:space="preserve">Comparativa FNA</w:t>
      </w:r>
    </w:p>
    <w:p>
      <w:pPr>
        <w:pStyle w:val="FirstParagraph"/>
      </w:pPr>
    </w:p>
    <w:bookmarkEnd w:id="33"/>
    <w:bookmarkEnd w:id="34"/>
    <w:bookmarkStart w:id="38" w:name="gobierno-soa"/>
    <w:p>
      <w:pPr>
        <w:pStyle w:val="Ttulo2"/>
      </w:pPr>
      <w:r>
        <w:t xml:space="preserve">Gobierno SOA</w:t>
      </w:r>
    </w:p>
    <w:bookmarkStart w:id="35"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35"/>
    <w:bookmarkStart w:id="36" w:name="mejores-prácticas-en-el-sector-1"/>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6"/>
    <w:bookmarkStart w:id="37" w:name="comparativa-fna-2"/>
    <w:p>
      <w:pPr>
        <w:pStyle w:val="Ttulo3"/>
      </w:pPr>
      <w:r>
        <w:t xml:space="preserve">Comparativa FNA</w:t>
      </w:r>
    </w:p>
    <w:p>
      <w:pPr>
        <w:pStyle w:val="FirstParagraph"/>
      </w:pPr>
    </w:p>
    <w:bookmarkEnd w:id="37"/>
    <w:bookmarkEnd w:id="38"/>
    <w:bookmarkStart w:id="42" w:name="estrategia-de-versionamiento"/>
    <w:p>
      <w:pPr>
        <w:pStyle w:val="Ttulo2"/>
      </w:pPr>
      <w:r>
        <w:t xml:space="preserve">Estrategia de Versionamiento</w:t>
      </w:r>
    </w:p>
    <w:bookmarkStart w:id="39"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9"/>
    <w:bookmarkStart w:id="40" w:name="mejores-prácticas-en-el-sector-2"/>
    <w:p>
      <w:pPr>
        <w:pStyle w:val="Ttulo3"/>
      </w:pPr>
      <w:r>
        <w:t xml:space="preserve">Mejores prácticas en el sector</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40"/>
    <w:bookmarkStart w:id="41" w:name="comparativa-fna-3"/>
    <w:p>
      <w:pPr>
        <w:pStyle w:val="Ttulo3"/>
      </w:pPr>
      <w:r>
        <w:t xml:space="preserve">Comparativa FNA</w:t>
      </w:r>
    </w:p>
    <w:p>
      <w:pPr>
        <w:pStyle w:val="FirstParagraph"/>
      </w:pPr>
    </w:p>
    <w:bookmarkEnd w:id="41"/>
    <w:bookmarkEnd w:id="42"/>
    <w:bookmarkStart w:id="46" w:name="monitoreo-y-operación"/>
    <w:p>
      <w:pPr>
        <w:pStyle w:val="Ttulo2"/>
      </w:pPr>
      <w:r>
        <w:t xml:space="preserve">Monitoreo y Operación</w:t>
      </w:r>
    </w:p>
    <w:bookmarkStart w:id="43"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43"/>
    <w:bookmarkStart w:id="44" w:name="mejores-prácticas-en-el-sector-3"/>
    <w:p>
      <w:pPr>
        <w:pStyle w:val="Ttulo3"/>
      </w:pPr>
      <w:r>
        <w:t xml:space="preserve">Mejores prácticas en el sector</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44"/>
    <w:bookmarkStart w:id="45" w:name="comparativa-fna-4"/>
    <w:p>
      <w:pPr>
        <w:pStyle w:val="Ttulo3"/>
      </w:pPr>
      <w:r>
        <w:t xml:space="preserve">Comparativa FNA</w:t>
      </w:r>
    </w:p>
    <w:p>
      <w:pPr>
        <w:pStyle w:val="FirstParagraph"/>
      </w:pPr>
    </w:p>
    <w:bookmarkEnd w:id="45"/>
    <w:bookmarkEnd w:id="46"/>
    <w:bookmarkStart w:id="50" w:name="mantenimiento-y-evolución"/>
    <w:p>
      <w:pPr>
        <w:pStyle w:val="Ttulo2"/>
      </w:pPr>
      <w:r>
        <w:t xml:space="preserve">Mantenimiento y Evolución</w:t>
      </w:r>
    </w:p>
    <w:bookmarkStart w:id="47"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7"/>
    <w:bookmarkStart w:id="48" w:name="mejores-prácticas-en-el-sector-4"/>
    <w:p>
      <w:pPr>
        <w:pStyle w:val="Ttulo3"/>
      </w:pPr>
      <w:r>
        <w:t xml:space="preserve">Mejores prácticas en el sector</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8"/>
    <w:bookmarkStart w:id="49" w:name="comparativa-fna-5"/>
    <w:p>
      <w:pPr>
        <w:pStyle w:val="Ttulo3"/>
      </w:pPr>
      <w:r>
        <w:t xml:space="preserve">Comparativa FNA</w:t>
      </w:r>
    </w:p>
    <w:p>
      <w:pPr>
        <w:pStyle w:val="FirstParagraph"/>
      </w:pPr>
    </w:p>
    <w:bookmarkEnd w:id="49"/>
    <w:bookmarkEnd w:id="50"/>
    <w:bookmarkStart w:id="54" w:name="nuevas-tecnologías"/>
    <w:p>
      <w:pPr>
        <w:pStyle w:val="Ttulo2"/>
      </w:pPr>
      <w:r>
        <w:t xml:space="preserve">Nuevas tecnologías</w:t>
      </w:r>
    </w:p>
    <w:bookmarkStart w:id="51"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51"/>
    <w:bookmarkStart w:id="52" w:name="mejores-prácticas-en-el-sector-5"/>
    <w:p>
      <w:pPr>
        <w:pStyle w:val="Ttulo3"/>
      </w:pPr>
      <w:r>
        <w:t xml:space="preserve">Mejores prácticas en el sector</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52"/>
    <w:bookmarkStart w:id="53" w:name="comparativa-fna-6"/>
    <w:p>
      <w:pPr>
        <w:pStyle w:val="Ttulo3"/>
      </w:pPr>
      <w:r>
        <w:t xml:space="preserve">Comparativa FNA</w:t>
      </w:r>
    </w:p>
    <w:bookmarkEnd w:id="53"/>
    <w:bookmarkEnd w:id="54"/>
    <w:bookmarkEnd w:id="5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N03a%a20Vsta%20aSegenta%20SOA%20FNA.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2023-01-10T18:38:13Z</dcterms:created>
  <dcterms:modified xsi:type="dcterms:W3CDTF">2023-01-10T18:38:13Z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2023-01-10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