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8.png" ContentType="image/png"/>
  <Override PartName="/word/media/rId31.png" ContentType="image/png"/>
  <Override PartName="/word/media/rId21.png" ContentType="image/png"/>
  <Override PartName="/word/media/rId68.png" ContentType="image/png"/>
  <Override PartName="/word/media/rId4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software-infraestructura"/>
    <w:p>
      <w:pPr>
        <w:pStyle w:val="Heading1"/>
      </w:pPr>
      <w:r>
        <w:t xml:space="preserve">Arquitectura de Software: Infraestructura</w:t>
      </w:r>
    </w:p>
    <w:p>
      <w:pPr>
        <w:numPr>
          <w:ilvl w:val="0"/>
          <w:numId w:val="1001"/>
        </w:numPr>
        <w:pStyle w:val="Compact"/>
      </w:pPr>
      <w:hyperlink w:anchor="diagrama-de-infraestructura-de-ti">
        <w:r>
          <w:rPr>
            <w:rStyle w:val="Hyperlink"/>
          </w:rPr>
          <w:t xml:space="preserve">Diagrama de Infraestructura de TI</w:t>
        </w:r>
      </w:hyperlink>
    </w:p>
    <w:p>
      <w:pPr>
        <w:numPr>
          <w:ilvl w:val="1"/>
          <w:numId w:val="1002"/>
        </w:numPr>
        <w:pStyle w:val="Compact"/>
      </w:pPr>
      <w:hyperlink w:anchor="migracion.3.-infraestructura">
        <w:r>
          <w:rPr>
            <w:rStyle w:val="Hyperlink"/>
          </w:rPr>
          <w:t xml:space="preserve">Migracion.3. Infraestructura</w:t>
        </w:r>
      </w:hyperlink>
    </w:p>
    <w:p>
      <w:pPr>
        <w:numPr>
          <w:ilvl w:val="1"/>
          <w:numId w:val="1002"/>
        </w:numPr>
        <w:pStyle w:val="Compact"/>
      </w:pPr>
      <w:hyperlink w:anchor="X3f1f1b70ddb407784104160acaf60ebb6bc9d2d">
        <w:r>
          <w:rPr>
            <w:rStyle w:val="Hyperlink"/>
          </w:rPr>
          <w:t xml:space="preserve">Lineabase.1a.SUI Componentes. Infraestrcutura</w:t>
        </w:r>
      </w:hyperlink>
    </w:p>
    <w:p>
      <w:pPr>
        <w:numPr>
          <w:ilvl w:val="1"/>
          <w:numId w:val="1002"/>
        </w:numPr>
        <w:pStyle w:val="Compact"/>
      </w:pPr>
      <w:hyperlink w:anchor="lineabase.0.sui-aplicación.-física">
        <w:r>
          <w:rPr>
            <w:rStyle w:val="Hyperlink"/>
          </w:rPr>
          <w:t xml:space="preserve">Lineabase.0.SUI Aplicación. Física</w:t>
        </w:r>
      </w:hyperlink>
    </w:p>
    <w:p>
      <w:pPr>
        <w:numPr>
          <w:ilvl w:val="1"/>
          <w:numId w:val="1002"/>
        </w:numPr>
        <w:pStyle w:val="Compact"/>
      </w:pPr>
      <w:hyperlink w:anchor="seguridad.2.-lineabase.0.sui-aplicación">
        <w:r>
          <w:rPr>
            <w:rStyle w:val="Hyperlink"/>
          </w:rPr>
          <w:t xml:space="preserve">Seguridad.2. Lineabase.0.SUI Aplicación</w:t>
        </w:r>
      </w:hyperlink>
    </w:p>
    <w:p>
      <w:pPr>
        <w:numPr>
          <w:ilvl w:val="1"/>
          <w:numId w:val="1002"/>
        </w:numPr>
        <w:pStyle w:val="Compact"/>
      </w:pPr>
      <w:hyperlink w:anchor="migracion.6.-migración-de-datos">
        <w:r>
          <w:rPr>
            <w:rStyle w:val="Hyperlink"/>
          </w:rPr>
          <w:t xml:space="preserve">Migracion.6. Migración de datos</w:t>
        </w:r>
      </w:hyperlink>
    </w:p>
    <w:p>
      <w:pPr>
        <w:numPr>
          <w:ilvl w:val="0"/>
          <w:numId w:val="1001"/>
        </w:numPr>
        <w:pStyle w:val="Compact"/>
      </w:pPr>
      <w:hyperlink w:anchor="X51db734b0c6c45519e8763ed857e3b1bb3c993c">
        <w:r>
          <w:rPr>
            <w:rStyle w:val="Hyperlink"/>
          </w:rPr>
          <w:t xml:space="preserve">Documento sobre especificaciones técnicas de infraestructura TI</w:t>
        </w:r>
      </w:hyperlink>
    </w:p>
    <w:p>
      <w:pPr>
        <w:numPr>
          <w:ilvl w:val="1"/>
          <w:numId w:val="1003"/>
        </w:numPr>
        <w:pStyle w:val="Compact"/>
      </w:pPr>
      <w:hyperlink w:anchor="lineabase.0.sui-aplicación.-física">
        <w:r>
          <w:rPr>
            <w:rStyle w:val="Hyperlink"/>
          </w:rPr>
          <w:t xml:space="preserve">Lineabase.0.SUI Aplicación. Física</w:t>
        </w:r>
      </w:hyperlink>
    </w:p>
    <w:p>
      <w:r>
        <w:br w:type="page"/>
      </w:r>
    </w:p>
    <w:bookmarkEnd w:id="20"/>
    <w:bookmarkStart w:id="74" w:name="diagrama-de-infraestructura-de-ti"/>
    <w:p>
      <w:pPr>
        <w:pStyle w:val="Heading1"/>
      </w:pPr>
      <w:r>
        <w:t xml:space="preserve">Diagrama de Infraestructura de TI</w:t>
      </w:r>
    </w:p>
    <w:bookmarkStart w:id="30" w:name="migracion.3.-infraestructura"/>
    <w:p>
      <w:pPr>
        <w:pStyle w:val="Heading2"/>
      </w:pPr>
      <w:r>
        <w:t xml:space="preserve">Migracion.3. Infraestructura</w:t>
      </w:r>
    </w:p>
    <w:bookmarkStart w:id="0" w:name="fig:Migracion.3.Infraestructura"/>
    <w:p>
      <w:pPr>
        <w:pStyle w:val="CaptionedFigure"/>
      </w:pPr>
      <w:bookmarkStart w:id="24" w:name="fig:Migracion.3.Infraestructura"/>
      <w:r>
        <w:drawing>
          <wp:inline>
            <wp:extent cx="5943600" cy="4848472"/>
            <wp:effectExtent b="0" l="0" r="0" t="0"/>
            <wp:docPr descr="Figure 1: Vista. Migracion.3. Infraestructura" title="" id="22" name="Picture"/>
            <a:graphic>
              <a:graphicData uri="http://schemas.openxmlformats.org/drawingml/2006/picture">
                <pic:pic>
                  <pic:nvPicPr>
                    <pic:cNvPr descr="images/Migracion.3.Infraestructura.png" id="23" name="Picture"/>
                    <pic:cNvPicPr>
                      <a:picLocks noChangeArrowheads="1" noChangeAspect="1"/>
                    </pic:cNvPicPr>
                  </pic:nvPicPr>
                  <pic:blipFill>
                    <a:blip r:embed="rId21"/>
                    <a:stretch>
                      <a:fillRect/>
                    </a:stretch>
                  </pic:blipFill>
                  <pic:spPr bwMode="auto">
                    <a:xfrm>
                      <a:off x="0" y="0"/>
                      <a:ext cx="5943600" cy="4848472"/>
                    </a:xfrm>
                    <a:prstGeom prst="rect">
                      <a:avLst/>
                    </a:prstGeom>
                    <a:noFill/>
                    <a:ln w="9525">
                      <a:noFill/>
                      <a:headEnd/>
                      <a:tailEnd/>
                    </a:ln>
                  </pic:spPr>
                </pic:pic>
              </a:graphicData>
            </a:graphic>
          </wp:inline>
        </w:drawing>
      </w:r>
      <w:bookmarkEnd w:id="24"/>
    </w:p>
    <w:p>
      <w:pPr>
        <w:pStyle w:val="ImageCaption"/>
      </w:pPr>
      <w:r>
        <w:t xml:space="preserve">Figure 1: Vista. Migracion.3. Infraestructura</w:t>
      </w:r>
    </w:p>
    <w:bookmarkEnd w:id="0"/>
    <w:p>
      <w:pPr>
        <w:pStyle w:val="BodyText"/>
      </w:pPr>
      <w:r>
        <w:t xml:space="preserve">Identificación de los ítems de infraestructura tecnológica, nodos, redes, cómputo, y almacenamiento relacionado con los módulos del SUI Migrado, 2023.</w:t>
      </w:r>
    </w:p>
    <w:bookmarkStart w:id="25" w:name="representación-de-infraestructura"/>
    <w:p>
      <w:pPr>
        <w:pStyle w:val="Heading3"/>
      </w:pPr>
      <w:r>
        <w:t xml:space="preserve">Representación de Infraestructura</w:t>
      </w:r>
    </w:p>
    <w:p>
      <w:pPr>
        <w:numPr>
          <w:ilvl w:val="0"/>
          <w:numId w:val="1004"/>
        </w:numPr>
        <w:pStyle w:val="Compact"/>
      </w:pPr>
      <w:r>
        <w:t xml:space="preserve">Canales</w:t>
      </w:r>
    </w:p>
    <w:p>
      <w:pPr>
        <w:numPr>
          <w:ilvl w:val="0"/>
          <w:numId w:val="1004"/>
        </w:numPr>
        <w:pStyle w:val="Compact"/>
      </w:pPr>
      <w:r>
        <w:t xml:space="preserve">Redes</w:t>
      </w:r>
    </w:p>
    <w:p>
      <w:pPr>
        <w:numPr>
          <w:ilvl w:val="0"/>
          <w:numId w:val="1004"/>
        </w:numPr>
        <w:pStyle w:val="Compact"/>
      </w:pPr>
      <w:r>
        <w:t xml:space="preserve">Grupo de Servidores</w:t>
      </w:r>
    </w:p>
    <w:p>
      <w:pPr>
        <w:numPr>
          <w:ilvl w:val="0"/>
          <w:numId w:val="1004"/>
        </w:numPr>
        <w:pStyle w:val="Compact"/>
      </w:pPr>
      <w:r>
        <w:t xml:space="preserve">Grupo de Servicios</w:t>
      </w:r>
    </w:p>
    <w:p>
      <w:pPr>
        <w:numPr>
          <w:ilvl w:val="0"/>
          <w:numId w:val="1004"/>
        </w:numPr>
        <w:pStyle w:val="Compact"/>
      </w:pPr>
      <w:r>
        <w:t xml:space="preserve">Integración</w:t>
      </w:r>
    </w:p>
    <w:p>
      <w:pPr>
        <w:numPr>
          <w:ilvl w:val="0"/>
          <w:numId w:val="1004"/>
        </w:numPr>
        <w:pStyle w:val="Compact"/>
      </w:pPr>
      <w:r>
        <w:t xml:space="preserve">Seguridad</w:t>
      </w:r>
    </w:p>
    <w:p>
      <w:pPr>
        <w:numPr>
          <w:ilvl w:val="0"/>
          <w:numId w:val="1004"/>
        </w:numPr>
        <w:pStyle w:val="Compact"/>
      </w:pPr>
      <w:r>
        <w:t xml:space="preserve">Almacenamiento</w:t>
      </w:r>
    </w:p>
    <w:p>
      <w:pPr>
        <w:numPr>
          <w:ilvl w:val="0"/>
          <w:numId w:val="1004"/>
        </w:numPr>
        <w:pStyle w:val="Compact"/>
      </w:pPr>
      <w:r>
        <w:t xml:space="preserve">Comunicación / Ruteo</w:t>
      </w:r>
    </w:p>
    <w:p>
      <w:pPr>
        <w:pStyle w:val="FirstParagraph"/>
      </w:pPr>
    </w:p>
    <w:bookmarkEnd w:id="25"/>
    <w:bookmarkStart w:id="26" w:name="especificaciones-plataformas-y-versiones"/>
    <w:p>
      <w:pPr>
        <w:pStyle w:val="Heading3"/>
      </w:pPr>
      <w:r>
        <w:t xml:space="preserve">Especificaciones Plataformas y Versiones</w:t>
      </w:r>
    </w:p>
    <w:p>
      <w:pPr>
        <w:numPr>
          <w:ilvl w:val="0"/>
          <w:numId w:val="1005"/>
        </w:numPr>
        <w:pStyle w:val="Compact"/>
      </w:pPr>
      <w:r>
        <w:t xml:space="preserve">Angular, versión 11</w:t>
      </w:r>
    </w:p>
    <w:p>
      <w:pPr>
        <w:numPr>
          <w:ilvl w:val="0"/>
          <w:numId w:val="1005"/>
        </w:numPr>
        <w:pStyle w:val="Compact"/>
      </w:pPr>
      <w:r>
        <w:t xml:space="preserve">Node Js, versión 14.16</w:t>
      </w:r>
    </w:p>
    <w:p>
      <w:pPr>
        <w:numPr>
          <w:ilvl w:val="0"/>
          <w:numId w:val="1005"/>
        </w:numPr>
        <w:pStyle w:val="Compact"/>
      </w:pPr>
      <w:r>
        <w:t xml:space="preserve">Net Entity Framework, versión 4.7</w:t>
      </w:r>
    </w:p>
    <w:p>
      <w:pPr>
        <w:numPr>
          <w:ilvl w:val="0"/>
          <w:numId w:val="1005"/>
        </w:numPr>
        <w:pStyle w:val="Compact"/>
      </w:pPr>
      <w:r>
        <w:t xml:space="preserve">Sequelize, versión 5.3</w:t>
      </w:r>
    </w:p>
    <w:p>
      <w:pPr>
        <w:pStyle w:val="FirstParagraph"/>
      </w:pPr>
    </w:p>
    <w:bookmarkEnd w:id="26"/>
    <w:bookmarkStart w:id="27" w:name="X5a4ba6e763a2ec47a2f0eaa844d4e1e65a7085f"/>
    <w:p>
      <w:pPr>
        <w:pStyle w:val="Heading3"/>
      </w:pPr>
      <w:r>
        <w:t xml:space="preserve">Especificaciones de Librerías y Dependencias</w:t>
      </w:r>
    </w:p>
    <w:p>
      <w:pPr>
        <w:numPr>
          <w:ilvl w:val="0"/>
          <w:numId w:val="1006"/>
        </w:numPr>
        <w:pStyle w:val="Compact"/>
      </w:pPr>
      <w:r>
        <w:t xml:space="preserve">Web Server (IIS) role</w:t>
      </w:r>
    </w:p>
    <w:p>
      <w:pPr>
        <w:numPr>
          <w:ilvl w:val="0"/>
          <w:numId w:val="1006"/>
        </w:numPr>
        <w:pStyle w:val="Compact"/>
      </w:pPr>
      <w:r>
        <w:t xml:space="preserve">Windows Process Activation Service feature</w:t>
      </w:r>
    </w:p>
    <w:p>
      <w:pPr>
        <w:numPr>
          <w:ilvl w:val="0"/>
          <w:numId w:val="1006"/>
        </w:numPr>
        <w:pStyle w:val="Compact"/>
      </w:pPr>
      <w:r>
        <w:t xml:space="preserve">Microsoft .NET Framework version 3.5</w:t>
      </w:r>
    </w:p>
    <w:p>
      <w:pPr>
        <w:numPr>
          <w:ilvl w:val="0"/>
          <w:numId w:val="1006"/>
        </w:numPr>
        <w:pStyle w:val="Compact"/>
      </w:pPr>
      <w:r>
        <w:t xml:space="preserve">Microsoft .NET Framework version 4.7.2</w:t>
      </w:r>
    </w:p>
    <w:p>
      <w:pPr>
        <w:numPr>
          <w:ilvl w:val="0"/>
          <w:numId w:val="1006"/>
        </w:numPr>
        <w:pStyle w:val="Compact"/>
      </w:pPr>
      <w:r>
        <w:t xml:space="preserve">Microsoft SQL Server 2012 Service Pack 4 Native Client</w:t>
      </w:r>
    </w:p>
    <w:p>
      <w:pPr>
        <w:numPr>
          <w:ilvl w:val="0"/>
          <w:numId w:val="1006"/>
        </w:numPr>
        <w:pStyle w:val="Compact"/>
      </w:pPr>
      <w:r>
        <w:t xml:space="preserve">Microsoft WCF Data Services 5.6</w:t>
      </w:r>
    </w:p>
    <w:p>
      <w:pPr>
        <w:numPr>
          <w:ilvl w:val="0"/>
          <w:numId w:val="1006"/>
        </w:numPr>
        <w:pStyle w:val="Compact"/>
      </w:pPr>
      <w:r>
        <w:t xml:space="preserve">Microsoft Identity Extensions</w:t>
      </w:r>
    </w:p>
    <w:p>
      <w:pPr>
        <w:numPr>
          <w:ilvl w:val="0"/>
          <w:numId w:val="1006"/>
        </w:numPr>
        <w:pStyle w:val="Compact"/>
      </w:pPr>
      <w:r>
        <w:t xml:space="preserve">Microsoft Information Protection and Control Client 2.1 (MSIPC)</w:t>
      </w:r>
    </w:p>
    <w:p>
      <w:pPr>
        <w:numPr>
          <w:ilvl w:val="0"/>
          <w:numId w:val="1006"/>
        </w:numPr>
        <w:pStyle w:val="Compact"/>
      </w:pPr>
      <w:r>
        <w:t xml:space="preserve">Cumulative Update Package 7 for Microsoft AppFabric 1.1 for Windows Server (KB 3092423)</w:t>
      </w:r>
    </w:p>
    <w:p>
      <w:pPr>
        <w:numPr>
          <w:ilvl w:val="0"/>
          <w:numId w:val="1006"/>
        </w:numPr>
        <w:pStyle w:val="Compact"/>
      </w:pPr>
      <w:r>
        <w:t xml:space="preserve">Visual C++ Redistributable Package for Visual Studio 2012</w:t>
      </w:r>
    </w:p>
    <w:p>
      <w:pPr>
        <w:numPr>
          <w:ilvl w:val="0"/>
          <w:numId w:val="1006"/>
        </w:numPr>
        <w:pStyle w:val="Compact"/>
      </w:pPr>
      <w:r>
        <w:t xml:space="preserve">Visual C++ Redistributable Package for Visual Studio 2017</w:t>
      </w:r>
    </w:p>
    <w:p>
      <w:pPr>
        <w:pStyle w:val="FirstParagraph"/>
      </w:pPr>
    </w:p>
    <w:bookmarkEnd w:id="27"/>
    <w:bookmarkStart w:id="28" w:name="especificaciones-base-de-servidores"/>
    <w:p>
      <w:pPr>
        <w:pStyle w:val="Heading3"/>
      </w:pPr>
      <w:r>
        <w:t xml:space="preserve">Especificaciones Base de Servidores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Servidor de Aplicaciones</w:t>
            </w:r>
          </w:p>
        </w:tc>
        <w:tc>
          <w:tcPr/>
          <w:p>
            <w:pPr>
              <w:pStyle w:val="Compact"/>
              <w:jc w:val="left"/>
            </w:pPr>
            <w:r>
              <w:t xml:space="preserve">Especificaciones del Servidor</w:t>
            </w:r>
          </w:p>
        </w:tc>
      </w:tr>
      <w:tr>
        <w:tc>
          <w:tcPr/>
          <w:p>
            <w:pPr>
              <w:pStyle w:val="Compact"/>
              <w:jc w:val="left"/>
            </w:pPr>
            <w:r>
              <w:t xml:space="preserve">Sistema Operativo</w:t>
            </w:r>
          </w:p>
        </w:tc>
        <w:tc>
          <w:tcPr/>
          <w:p>
            <w:pPr>
              <w:pStyle w:val="Compact"/>
              <w:jc w:val="left"/>
            </w:pPr>
            <w:r>
              <w:t xml:space="preserve">Windows Server 2019 Standard or Datacenter x64</w:t>
            </w:r>
          </w:p>
        </w:tc>
      </w:tr>
      <w:tr>
        <w:tc>
          <w:tcPr/>
          <w:p>
            <w:pPr>
              <w:pStyle w:val="Compact"/>
              <w:jc w:val="left"/>
            </w:pPr>
            <w:r>
              <w:t xml:space="preserve">RAM</w:t>
            </w:r>
          </w:p>
        </w:tc>
        <w:tc>
          <w:tcPr/>
          <w:p>
            <w:pPr>
              <w:pStyle w:val="Compact"/>
              <w:jc w:val="left"/>
            </w:pPr>
            <w:r>
              <w:t xml:space="preserve">16 GB</w:t>
            </w:r>
          </w:p>
        </w:tc>
      </w:tr>
      <w:tr>
        <w:tc>
          <w:tcPr/>
          <w:p>
            <w:pPr>
              <w:pStyle w:val="Compact"/>
              <w:jc w:val="left"/>
            </w:pPr>
            <w:r>
              <w:t xml:space="preserve">CPU</w:t>
            </w:r>
          </w:p>
        </w:tc>
        <w:tc>
          <w:tcPr/>
          <w:p>
            <w:pPr>
              <w:pStyle w:val="Compact"/>
              <w:jc w:val="left"/>
            </w:pPr>
            <w:r>
              <w:t xml:space="preserve">64 Bits, mínimo 4 Cores &gt; 2 Ghz</w:t>
            </w:r>
          </w:p>
        </w:tc>
      </w:tr>
      <w:tr>
        <w:tc>
          <w:tcPr/>
          <w:p>
            <w:pPr>
              <w:pStyle w:val="Compact"/>
              <w:jc w:val="left"/>
            </w:pPr>
            <w:r>
              <w:t xml:space="preserve">Discos</w:t>
            </w:r>
          </w:p>
        </w:tc>
        <w:tc>
          <w:tcPr/>
          <w:p>
            <w:pPr>
              <w:pStyle w:val="Compact"/>
              <w:jc w:val="left"/>
            </w:pPr>
            <w:r>
              <w:t xml:space="preserve">C: 120 GB, D: 16 GB</w:t>
            </w:r>
          </w:p>
        </w:tc>
      </w:tr>
      <w:tr>
        <w:tc>
          <w:tcPr/>
          <w:p>
            <w:pPr>
              <w:pStyle w:val="Compact"/>
              <w:jc w:val="left"/>
            </w:pPr>
            <w:r>
              <w:t xml:space="preserve">Físico/virtual</w:t>
            </w:r>
          </w:p>
        </w:tc>
        <w:tc>
          <w:tcPr/>
          <w:p>
            <w:pPr>
              <w:pStyle w:val="Compact"/>
              <w:jc w:val="left"/>
            </w:pPr>
            <w:r>
              <w:t xml:space="preserve">Virtual</w:t>
            </w:r>
          </w:p>
        </w:tc>
      </w:tr>
      <w:tr>
        <w:tc>
          <w:tcPr/>
          <w:p>
            <w:pPr>
              <w:pStyle w:val="Compact"/>
              <w:jc w:val="left"/>
            </w:pPr>
            <w:r>
              <w:t xml:space="preserve">Roles / Features</w:t>
            </w:r>
          </w:p>
        </w:tc>
        <w:tc>
          <w:tcPr/>
          <w:p>
            <w:pPr>
              <w:pStyle w:val="Compact"/>
              <w:jc w:val="left"/>
            </w:pPr>
            <w:r>
              <w:t xml:space="preserve">Web Server (IIS) role</w:t>
            </w:r>
          </w:p>
        </w:tc>
      </w:tr>
      <w:tr>
        <w:tc>
          <w:tcPr/>
          <w:p>
            <w:pPr>
              <w:pStyle w:val="Compact"/>
            </w:pPr>
          </w:p>
        </w:tc>
        <w:tc>
          <w:tcPr/>
          <w:p>
            <w:pPr>
              <w:pStyle w:val="Compact"/>
              <w:jc w:val="left"/>
            </w:pPr>
            <w:r>
              <w:t xml:space="preserve">Windows Process Activation Service feature</w:t>
            </w:r>
          </w:p>
        </w:tc>
      </w:tr>
      <w:tr>
        <w:tc>
          <w:tcPr/>
          <w:p>
            <w:pPr>
              <w:pStyle w:val="Compact"/>
            </w:pPr>
          </w:p>
        </w:tc>
        <w:tc>
          <w:tcPr/>
          <w:p>
            <w:pPr>
              <w:pStyle w:val="Compact"/>
              <w:jc w:val="left"/>
            </w:pPr>
            <w:r>
              <w:t xml:space="preserve">Microsoft .NET Framework version 3.5</w:t>
            </w:r>
          </w:p>
        </w:tc>
      </w:tr>
    </w:tbl>
    <w:p>
      <w:pPr>
        <w:pStyle w:val="BodyText"/>
      </w:pPr>
    </w:p>
    <w:bookmarkEnd w:id="28"/>
    <w:bookmarkStart w:id="29"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Estratego.</w:t>
            </w: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Estratego.</w:t>
            </w:r>
          </w:p>
        </w:tc>
        <w:tc>
          <w:tcPr/>
          <w:p>
            <w:pPr>
              <w:pStyle w:val="Compact"/>
            </w:pPr>
          </w:p>
        </w:tc>
      </w:tr>
      <w:tr>
        <w:tc>
          <w:tcPr/>
          <w:p>
            <w:pPr>
              <w:pStyle w:val="Compact"/>
              <w:jc w:val="left"/>
            </w:pPr>
            <w:r>
              <w:rPr>
                <w:bCs/>
                <w:b/>
              </w:rPr>
              <w:t xml:space="preserve">App Movíl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Cola ppal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Cola reintento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Funcionarios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Reverse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Reverse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Reverse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Service Control Plane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Https</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Https</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API Consumer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API Providers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API Management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Kubernates</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Mobile</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PC/Laptop</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Regionales</w:t>
            </w:r>
          </w:p>
        </w:tc>
        <w:tc>
          <w:tcPr/>
          <w:p>
            <w:pPr>
              <w:pStyle w:val="Compact"/>
              <w:jc w:val="left"/>
            </w:pPr>
            <w:r>
              <w:t xml:space="preserve">device</w:t>
            </w:r>
          </w:p>
        </w:tc>
        <w:tc>
          <w:tcPr/>
          <w:p>
            <w:pPr>
              <w:pStyle w:val="Compact"/>
            </w:pPr>
          </w:p>
        </w:tc>
        <w:tc>
          <w:tcPr/>
          <w:p>
            <w:pPr>
              <w:pStyle w:val="Compact"/>
            </w:pPr>
          </w:p>
        </w:tc>
      </w:tr>
      <w:tr>
        <w:tc>
          <w:tcPr/>
          <w:p>
            <w:pPr>
              <w:pStyle w:val="Compact"/>
              <w:jc w:val="left"/>
            </w:pPr>
            <w:r>
              <w:t xml:space="preserve">** Database por módulo - CQRS**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Canales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Comunicación y Ruteo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Control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Control transaccional</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Grupo Service 1</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Grupo Service 2</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Integración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Management Plane</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Managemnet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Monitoreo y Métricas consumo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SUI - Arquitectura Tecnologías (infraestructura)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Seguridad / Protección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Dependencias</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SUI Migración. Procuraduría General de la Nación. 2023</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Bastion Host Management</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Private Endpoint per microservices</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Vnet Bastion</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APP2.SIRI</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APP2.SIRI</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APP5.SIM</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APP5.SIM</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Management Bastion</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Internal load balanced</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Message broker</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Topic</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Gateway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Active Directory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Application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Event Grid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Infrastructure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Kay vault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Network Security Group</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Platform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instance config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instance operational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Servidores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Servidores central</w:t>
            </w:r>
          </w:p>
        </w:tc>
        <w:tc>
          <w:tcPr/>
          <w:p>
            <w:pPr>
              <w:pStyle w:val="Compact"/>
              <w:jc w:val="left"/>
            </w:pPr>
            <w:r>
              <w:t xml:space="preserve">technology-service</w:t>
            </w:r>
          </w:p>
        </w:tc>
        <w:tc>
          <w:tcPr/>
          <w:p>
            <w:pPr>
              <w:pStyle w:val="Compact"/>
            </w:pPr>
          </w:p>
        </w:tc>
        <w:tc>
          <w:tcPr/>
          <w:p>
            <w:pPr>
              <w:pStyle w:val="Compact"/>
            </w:pPr>
          </w:p>
        </w:tc>
      </w:tr>
    </w:tbl>
    <w:p>
      <w:pPr>
        <w:pStyle w:val="BodyText"/>
      </w:pPr>
    </w:p>
    <w:bookmarkEnd w:id="29"/>
    <w:bookmarkEnd w:id="30"/>
    <w:bookmarkStart w:id="37" w:name="X3f1f1b70ddb407784104160acaf60ebb6bc9d2d"/>
    <w:p>
      <w:pPr>
        <w:pStyle w:val="Heading2"/>
      </w:pPr>
      <w:r>
        <w:t xml:space="preserve">Lineabase.1a.SUI Componentes. Infraestrcutura</w:t>
      </w:r>
    </w:p>
    <w:bookmarkStart w:id="0" w:name="fig:Lineabase.1a.SUIComponentes.Infraestrcutura"/>
    <w:p>
      <w:pPr>
        <w:pStyle w:val="CaptionedFigure"/>
      </w:pPr>
      <w:bookmarkStart w:id="34" w:name="X8aa4c7c00dfdcbf0f79cbc0db81221fa2144135"/>
      <w:r>
        <w:drawing>
          <wp:inline>
            <wp:extent cx="5943600" cy="4793225"/>
            <wp:effectExtent b="0" l="0" r="0" t="0"/>
            <wp:docPr descr="Figure 2: Vista. Lineabase.1a.SUI Componentes. Infraestrcutura" title="" id="32" name="Picture"/>
            <a:graphic>
              <a:graphicData uri="http://schemas.openxmlformats.org/drawingml/2006/picture">
                <pic:pic>
                  <pic:nvPicPr>
                    <pic:cNvPr descr="images/Lineabase.1a.SUIComponentes.Infraestrcutura.png" id="33" name="Picture"/>
                    <pic:cNvPicPr>
                      <a:picLocks noChangeArrowheads="1" noChangeAspect="1"/>
                    </pic:cNvPicPr>
                  </pic:nvPicPr>
                  <pic:blipFill>
                    <a:blip r:embed="rId31"/>
                    <a:stretch>
                      <a:fillRect/>
                    </a:stretch>
                  </pic:blipFill>
                  <pic:spPr bwMode="auto">
                    <a:xfrm>
                      <a:off x="0" y="0"/>
                      <a:ext cx="5943600" cy="4793225"/>
                    </a:xfrm>
                    <a:prstGeom prst="rect">
                      <a:avLst/>
                    </a:prstGeom>
                    <a:noFill/>
                    <a:ln w="9525">
                      <a:noFill/>
                      <a:headEnd/>
                      <a:tailEnd/>
                    </a:ln>
                  </pic:spPr>
                </pic:pic>
              </a:graphicData>
            </a:graphic>
          </wp:inline>
        </w:drawing>
      </w:r>
      <w:bookmarkEnd w:id="34"/>
    </w:p>
    <w:p>
      <w:pPr>
        <w:pStyle w:val="ImageCaption"/>
      </w:pPr>
      <w:r>
        <w:t xml:space="preserve">Figure 2: Vista. Lineabase.1a.SUI Componentes. Infraestrcutura</w:t>
      </w:r>
    </w:p>
    <w:bookmarkEnd w:id="0"/>
    <w:p>
      <w:pPr>
        <w:pStyle w:val="BodyText"/>
      </w:pPr>
      <w:r>
        <w:t xml:space="preserve">Relación de dependencias de infraestructura con los servicios que integran el modelo de aplicación de SUI Migrado, 2023.</w:t>
      </w:r>
    </w:p>
    <w:bookmarkStart w:id="35" w:name="elementos-de-infraestructura-sui-migrado"/>
    <w:p>
      <w:pPr>
        <w:pStyle w:val="Heading3"/>
      </w:pPr>
      <w:r>
        <w:t xml:space="preserve">Elementos de Infraestructura SUI Migrado</w:t>
      </w:r>
    </w:p>
    <w:p>
      <w:pPr>
        <w:numPr>
          <w:ilvl w:val="0"/>
          <w:numId w:val="1007"/>
        </w:numPr>
        <w:pStyle w:val="Compact"/>
      </w:pPr>
      <w:r>
        <w:t xml:space="preserve">Servidor de Canales (App PGN web y móvil)</w:t>
      </w:r>
    </w:p>
    <w:p>
      <w:pPr>
        <w:numPr>
          <w:ilvl w:val="0"/>
          <w:numId w:val="1007"/>
        </w:numPr>
        <w:pStyle w:val="Compact"/>
      </w:pPr>
      <w:r>
        <w:t xml:space="preserve">Servidor Web App (App SUI)</w:t>
      </w:r>
    </w:p>
    <w:p>
      <w:pPr>
        <w:numPr>
          <w:ilvl w:val="0"/>
          <w:numId w:val="1007"/>
        </w:numPr>
        <w:pStyle w:val="Compact"/>
      </w:pPr>
      <w:r>
        <w:t xml:space="preserve">Servidor Lappiz (Config SUI)</w:t>
      </w:r>
    </w:p>
    <w:p>
      <w:pPr>
        <w:numPr>
          <w:ilvl w:val="0"/>
          <w:numId w:val="1007"/>
        </w:numPr>
        <w:pStyle w:val="Compact"/>
      </w:pPr>
      <w:r>
        <w:t xml:space="preserve">Servidor BDD App (Transaccional)</w:t>
      </w:r>
    </w:p>
    <w:p>
      <w:pPr>
        <w:numPr>
          <w:ilvl w:val="0"/>
          <w:numId w:val="1007"/>
        </w:numPr>
        <w:pStyle w:val="Compact"/>
      </w:pPr>
      <w:r>
        <w:t xml:space="preserve">Servidor BDD Config (Configuración)</w:t>
      </w:r>
    </w:p>
    <w:p>
      <w:pPr>
        <w:pStyle w:val="FirstParagraph"/>
      </w:pPr>
    </w:p>
    <w:bookmarkEnd w:id="35"/>
    <w:bookmarkStart w:id="36"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Control de acceso</w:t>
            </w:r>
          </w:p>
        </w:tc>
        <w:tc>
          <w:tcPr/>
          <w:p>
            <w:pPr>
              <w:pStyle w:val="Compact"/>
              <w:jc w:val="left"/>
            </w:pPr>
            <w:r>
              <w:t xml:space="preserve">node</w:t>
            </w:r>
          </w:p>
        </w:tc>
        <w:tc>
          <w:tcPr/>
          <w:p>
            <w:pPr>
              <w:pStyle w:val="Compact"/>
              <w:jc w:val="left"/>
            </w:pPr>
            <w:r>
              <w:t xml:space="preserve">Sistema de autenticación del directorio activo.</w:t>
            </w:r>
          </w:p>
        </w:tc>
        <w:tc>
          <w:tcPr/>
          <w:p>
            <w:pPr>
              <w:pStyle w:val="Compact"/>
            </w:pPr>
          </w:p>
        </w:tc>
      </w:tr>
    </w:tbl>
    <w:p>
      <w:pPr>
        <w:pStyle w:val="BodyText"/>
      </w:pPr>
    </w:p>
    <w:bookmarkEnd w:id="36"/>
    <w:bookmarkEnd w:id="37"/>
    <w:bookmarkStart w:id="47" w:name="lineabase.0.sui-aplicación.-física"/>
    <w:p>
      <w:pPr>
        <w:pStyle w:val="Heading2"/>
      </w:pPr>
      <w:r>
        <w:t xml:space="preserve">Lineabase.0.SUI Aplicación. Física</w:t>
      </w:r>
    </w:p>
    <w:bookmarkStart w:id="0" w:name="fig:Lineabase.0.SUIAplicación.Física"/>
    <w:p>
      <w:pPr>
        <w:pStyle w:val="CaptionedFigure"/>
      </w:pPr>
      <w:bookmarkStart w:id="41" w:name="fig:Lineabase.0.SUIAplicación.Física"/>
      <w:r>
        <w:drawing>
          <wp:inline>
            <wp:extent cx="5943600" cy="3905662"/>
            <wp:effectExtent b="0" l="0" r="0" t="0"/>
            <wp:docPr descr="Figure 3: Vista. Lineabase.0.SUI Aplicación. Física" title="" id="39" name="Picture"/>
            <a:graphic>
              <a:graphicData uri="http://schemas.openxmlformats.org/drawingml/2006/picture">
                <pic:pic>
                  <pic:nvPicPr>
                    <pic:cNvPr descr="images/Lineabase.0.SUIAplicación.Física.png" id="40" name="Picture"/>
                    <pic:cNvPicPr>
                      <a:picLocks noChangeArrowheads="1" noChangeAspect="1"/>
                    </pic:cNvPicPr>
                  </pic:nvPicPr>
                  <pic:blipFill>
                    <a:blip r:embed="rId38"/>
                    <a:stretch>
                      <a:fillRect/>
                    </a:stretch>
                  </pic:blipFill>
                  <pic:spPr bwMode="auto">
                    <a:xfrm>
                      <a:off x="0" y="0"/>
                      <a:ext cx="5943600" cy="3905662"/>
                    </a:xfrm>
                    <a:prstGeom prst="rect">
                      <a:avLst/>
                    </a:prstGeom>
                    <a:noFill/>
                    <a:ln w="9525">
                      <a:noFill/>
                      <a:headEnd/>
                      <a:tailEnd/>
                    </a:ln>
                  </pic:spPr>
                </pic:pic>
              </a:graphicData>
            </a:graphic>
          </wp:inline>
        </w:drawing>
      </w:r>
      <w:bookmarkEnd w:id="41"/>
    </w:p>
    <w:p>
      <w:pPr>
        <w:pStyle w:val="ImageCaption"/>
      </w:pPr>
      <w:r>
        <w:t xml:space="preserve">Figure 3: Vista. Lineabase.0.SUI Aplicación. Física</w:t>
      </w:r>
    </w:p>
    <w:bookmarkEnd w:id="0"/>
    <w:p>
      <w:pPr>
        <w:pStyle w:val="BodyText"/>
      </w:pPr>
      <w:r>
        <w:t xml:space="preserve">Procuraduría General de la Nación (PGN), módulo Sistema Único de Información (SUI), 2023. Elementos físicos que soportan a la aplicación doc Sistema Único de Información (SUI) de la PGN, actual Fase I y existente en Fase II. Presentación de componentes de software y tecnología física (hardware) implementados en la Fase I y requeridos por Fase II (presente proyecto).</w:t>
      </w:r>
    </w:p>
    <w:bookmarkStart w:id="42" w:name="representación-de-arquitectura"/>
    <w:p>
      <w:pPr>
        <w:pStyle w:val="Heading3"/>
      </w:pPr>
      <w:r>
        <w:t xml:space="preserve">Representación de Arquitectura</w:t>
      </w:r>
    </w:p>
    <w:p>
      <w:pPr>
        <w:pStyle w:val="FirstParagraph"/>
      </w:pPr>
      <w:r>
        <w:t xml:space="preserve">Con una arquitectura orientada a servicios Sistema Único de Información (SUI) recopila:</w:t>
      </w:r>
    </w:p>
    <w:p>
      <w:pPr>
        <w:numPr>
          <w:ilvl w:val="0"/>
          <w:numId w:val="1008"/>
        </w:numPr>
        <w:pStyle w:val="Compact"/>
      </w:pPr>
      <w:r>
        <w:t xml:space="preserve">Runtime: Es el servicio que interactúa con el usuario final (GUI) elaborado en Angular 11</w:t>
      </w:r>
    </w:p>
    <w:p>
      <w:pPr>
        <w:numPr>
          <w:ilvl w:val="0"/>
          <w:numId w:val="1008"/>
        </w:numPr>
        <w:pStyle w:val="Compact"/>
      </w:pPr>
      <w:r>
        <w:t xml:space="preserve">API Tx: Servicio API REST Base Node encargado de realizar las transacciones básicas CRUD</w:t>
      </w:r>
    </w:p>
    <w:p>
      <w:pPr>
        <w:numPr>
          <w:ilvl w:val="0"/>
          <w:numId w:val="1008"/>
        </w:numPr>
        <w:pStyle w:val="Compact"/>
      </w:pPr>
      <w:r>
        <w:t xml:space="preserve">API Config / Seguridad. Servicio Web API .Net Framework encargado de gestionar características con la autenticación y configuración</w:t>
      </w:r>
    </w:p>
    <w:p>
      <w:pPr>
        <w:pStyle w:val="FirstParagraph"/>
      </w:pPr>
    </w:p>
    <w:bookmarkEnd w:id="42"/>
    <w:bookmarkStart w:id="43" w:name="X5cf220f02cb7920a14d41c2462f11799b82baca"/>
    <w:p>
      <w:pPr>
        <w:pStyle w:val="Heading3"/>
      </w:pPr>
      <w:r>
        <w:t xml:space="preserve">Especificaciones Plataformas y Versiones</w:t>
      </w:r>
    </w:p>
    <w:p>
      <w:pPr>
        <w:numPr>
          <w:ilvl w:val="0"/>
          <w:numId w:val="1009"/>
        </w:numPr>
        <w:pStyle w:val="Compact"/>
      </w:pPr>
      <w:r>
        <w:t xml:space="preserve">Angular, versión 11</w:t>
      </w:r>
    </w:p>
    <w:p>
      <w:pPr>
        <w:numPr>
          <w:ilvl w:val="0"/>
          <w:numId w:val="1009"/>
        </w:numPr>
        <w:pStyle w:val="Compact"/>
      </w:pPr>
      <w:r>
        <w:t xml:space="preserve">Node Js, versión 14.16</w:t>
      </w:r>
    </w:p>
    <w:p>
      <w:pPr>
        <w:numPr>
          <w:ilvl w:val="0"/>
          <w:numId w:val="1009"/>
        </w:numPr>
        <w:pStyle w:val="Compact"/>
      </w:pPr>
      <w:r>
        <w:t xml:space="preserve">Net Entity Framework, versión 4.7</w:t>
      </w:r>
    </w:p>
    <w:p>
      <w:pPr>
        <w:numPr>
          <w:ilvl w:val="0"/>
          <w:numId w:val="1009"/>
        </w:numPr>
        <w:pStyle w:val="Compact"/>
      </w:pPr>
      <w:r>
        <w:t xml:space="preserve">Sequelize, versión 5.3</w:t>
      </w:r>
    </w:p>
    <w:p>
      <w:pPr>
        <w:pStyle w:val="FirstParagraph"/>
      </w:pPr>
    </w:p>
    <w:bookmarkEnd w:id="43"/>
    <w:bookmarkStart w:id="44" w:name="X1aaca91263ee65b104c0448fceba1ad22716af4"/>
    <w:p>
      <w:pPr>
        <w:pStyle w:val="Heading3"/>
      </w:pPr>
      <w:r>
        <w:t xml:space="preserve">Especificaciones de Librerías y Dependencias</w:t>
      </w:r>
    </w:p>
    <w:p>
      <w:pPr>
        <w:numPr>
          <w:ilvl w:val="0"/>
          <w:numId w:val="1010"/>
        </w:numPr>
        <w:pStyle w:val="Compact"/>
      </w:pPr>
      <w:r>
        <w:t xml:space="preserve">Web Server (IIS) role</w:t>
      </w:r>
    </w:p>
    <w:p>
      <w:pPr>
        <w:numPr>
          <w:ilvl w:val="0"/>
          <w:numId w:val="1010"/>
        </w:numPr>
        <w:pStyle w:val="Compact"/>
      </w:pPr>
      <w:r>
        <w:t xml:space="preserve">Windows Process Activation Service feature</w:t>
      </w:r>
    </w:p>
    <w:p>
      <w:pPr>
        <w:numPr>
          <w:ilvl w:val="0"/>
          <w:numId w:val="1010"/>
        </w:numPr>
        <w:pStyle w:val="Compact"/>
      </w:pPr>
      <w:r>
        <w:t xml:space="preserve">Microsoft .NET Framework version 3.5</w:t>
      </w:r>
    </w:p>
    <w:p>
      <w:pPr>
        <w:numPr>
          <w:ilvl w:val="0"/>
          <w:numId w:val="1010"/>
        </w:numPr>
        <w:pStyle w:val="Compact"/>
      </w:pPr>
      <w:r>
        <w:t xml:space="preserve">Microsoft .NET Framework version 4.7.2</w:t>
      </w:r>
    </w:p>
    <w:p>
      <w:pPr>
        <w:numPr>
          <w:ilvl w:val="0"/>
          <w:numId w:val="1010"/>
        </w:numPr>
        <w:pStyle w:val="Compact"/>
      </w:pPr>
      <w:r>
        <w:t xml:space="preserve">Microsoft SQL Server 2012 Service Pack 4 Native Client</w:t>
      </w:r>
    </w:p>
    <w:p>
      <w:pPr>
        <w:numPr>
          <w:ilvl w:val="0"/>
          <w:numId w:val="1010"/>
        </w:numPr>
        <w:pStyle w:val="Compact"/>
      </w:pPr>
      <w:r>
        <w:t xml:space="preserve">Microsoft WCF Data Services 5.6</w:t>
      </w:r>
    </w:p>
    <w:p>
      <w:pPr>
        <w:numPr>
          <w:ilvl w:val="0"/>
          <w:numId w:val="1010"/>
        </w:numPr>
        <w:pStyle w:val="Compact"/>
      </w:pPr>
      <w:r>
        <w:t xml:space="preserve">Microsoft Identity Extensions</w:t>
      </w:r>
    </w:p>
    <w:p>
      <w:pPr>
        <w:numPr>
          <w:ilvl w:val="0"/>
          <w:numId w:val="1010"/>
        </w:numPr>
        <w:pStyle w:val="Compact"/>
      </w:pPr>
      <w:r>
        <w:t xml:space="preserve">Microsoft Information Protection and Control Client 2.1 (MSIPC)</w:t>
      </w:r>
    </w:p>
    <w:p>
      <w:pPr>
        <w:numPr>
          <w:ilvl w:val="0"/>
          <w:numId w:val="1010"/>
        </w:numPr>
        <w:pStyle w:val="Compact"/>
      </w:pPr>
      <w:r>
        <w:t xml:space="preserve">Cumulative Update Package 7 for Microsoft AppFabric 1.1 for Windows Server (KB 3092423)</w:t>
      </w:r>
    </w:p>
    <w:p>
      <w:pPr>
        <w:numPr>
          <w:ilvl w:val="0"/>
          <w:numId w:val="1010"/>
        </w:numPr>
        <w:pStyle w:val="Compact"/>
      </w:pPr>
      <w:r>
        <w:t xml:space="preserve">Visual C++ Redistributable Package for Visual Studio 2012</w:t>
      </w:r>
    </w:p>
    <w:p>
      <w:pPr>
        <w:numPr>
          <w:ilvl w:val="0"/>
          <w:numId w:val="1010"/>
        </w:numPr>
        <w:pStyle w:val="Compact"/>
      </w:pPr>
      <w:r>
        <w:t xml:space="preserve">Visual C++ Redistributable Package for Visual Studio 2017</w:t>
      </w:r>
    </w:p>
    <w:p>
      <w:pPr>
        <w:pStyle w:val="FirstParagraph"/>
      </w:pPr>
    </w:p>
    <w:bookmarkEnd w:id="44"/>
    <w:bookmarkStart w:id="45" w:name="especificaciones-base-de-servidores-1"/>
    <w:p>
      <w:pPr>
        <w:pStyle w:val="Heading3"/>
      </w:pPr>
      <w:r>
        <w:t xml:space="preserve">Especificaciones Base de Servidores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Servidor de Aplicaciones</w:t>
            </w:r>
          </w:p>
        </w:tc>
        <w:tc>
          <w:tcPr/>
          <w:p>
            <w:pPr>
              <w:pStyle w:val="Compact"/>
              <w:jc w:val="left"/>
            </w:pPr>
            <w:r>
              <w:t xml:space="preserve">Especificaciones del Servidor</w:t>
            </w:r>
          </w:p>
        </w:tc>
      </w:tr>
      <w:tr>
        <w:tc>
          <w:tcPr/>
          <w:p>
            <w:pPr>
              <w:pStyle w:val="Compact"/>
              <w:jc w:val="left"/>
            </w:pPr>
            <w:r>
              <w:t xml:space="preserve">Sistema Operativo</w:t>
            </w:r>
          </w:p>
        </w:tc>
        <w:tc>
          <w:tcPr/>
          <w:p>
            <w:pPr>
              <w:pStyle w:val="Compact"/>
              <w:jc w:val="left"/>
            </w:pPr>
            <w:r>
              <w:t xml:space="preserve">Windows Server 2019 Standard or Datacenter x64</w:t>
            </w:r>
          </w:p>
        </w:tc>
      </w:tr>
      <w:tr>
        <w:tc>
          <w:tcPr/>
          <w:p>
            <w:pPr>
              <w:pStyle w:val="Compact"/>
              <w:jc w:val="left"/>
            </w:pPr>
            <w:r>
              <w:t xml:space="preserve">RAM</w:t>
            </w:r>
          </w:p>
        </w:tc>
        <w:tc>
          <w:tcPr/>
          <w:p>
            <w:pPr>
              <w:pStyle w:val="Compact"/>
              <w:jc w:val="left"/>
            </w:pPr>
            <w:r>
              <w:t xml:space="preserve">16 GB</w:t>
            </w:r>
          </w:p>
        </w:tc>
      </w:tr>
      <w:tr>
        <w:tc>
          <w:tcPr/>
          <w:p>
            <w:pPr>
              <w:pStyle w:val="Compact"/>
              <w:jc w:val="left"/>
            </w:pPr>
            <w:r>
              <w:t xml:space="preserve">CPU</w:t>
            </w:r>
          </w:p>
        </w:tc>
        <w:tc>
          <w:tcPr/>
          <w:p>
            <w:pPr>
              <w:pStyle w:val="Compact"/>
              <w:jc w:val="left"/>
            </w:pPr>
            <w:r>
              <w:t xml:space="preserve">64 Bits, mínimo 4 Cores &gt; 2 Ghz</w:t>
            </w:r>
          </w:p>
        </w:tc>
      </w:tr>
      <w:tr>
        <w:tc>
          <w:tcPr/>
          <w:p>
            <w:pPr>
              <w:pStyle w:val="Compact"/>
              <w:jc w:val="left"/>
            </w:pPr>
            <w:r>
              <w:t xml:space="preserve">Discos</w:t>
            </w:r>
          </w:p>
        </w:tc>
        <w:tc>
          <w:tcPr/>
          <w:p>
            <w:pPr>
              <w:pStyle w:val="Compact"/>
              <w:jc w:val="left"/>
            </w:pPr>
            <w:r>
              <w:t xml:space="preserve">C: 120 GB, D: 16 GB</w:t>
            </w:r>
          </w:p>
        </w:tc>
      </w:tr>
      <w:tr>
        <w:tc>
          <w:tcPr/>
          <w:p>
            <w:pPr>
              <w:pStyle w:val="Compact"/>
              <w:jc w:val="left"/>
            </w:pPr>
            <w:r>
              <w:t xml:space="preserve">Físico/virtual</w:t>
            </w:r>
          </w:p>
        </w:tc>
        <w:tc>
          <w:tcPr/>
          <w:p>
            <w:pPr>
              <w:pStyle w:val="Compact"/>
              <w:jc w:val="left"/>
            </w:pPr>
            <w:r>
              <w:t xml:space="preserve">Virtual</w:t>
            </w:r>
          </w:p>
        </w:tc>
      </w:tr>
      <w:tr>
        <w:tc>
          <w:tcPr/>
          <w:p>
            <w:pPr>
              <w:pStyle w:val="Compact"/>
              <w:jc w:val="left"/>
            </w:pPr>
            <w:r>
              <w:t xml:space="preserve">Roles / Features</w:t>
            </w:r>
          </w:p>
        </w:tc>
        <w:tc>
          <w:tcPr/>
          <w:p>
            <w:pPr>
              <w:pStyle w:val="Compact"/>
              <w:jc w:val="left"/>
            </w:pPr>
            <w:r>
              <w:t xml:space="preserve">Web Server (IIS) role</w:t>
            </w:r>
          </w:p>
        </w:tc>
      </w:tr>
      <w:tr>
        <w:tc>
          <w:tcPr/>
          <w:p>
            <w:pPr>
              <w:pStyle w:val="Compact"/>
            </w:pPr>
          </w:p>
        </w:tc>
        <w:tc>
          <w:tcPr/>
          <w:p>
            <w:pPr>
              <w:pStyle w:val="Compact"/>
              <w:jc w:val="left"/>
            </w:pPr>
            <w:r>
              <w:t xml:space="preserve">Windows Process Activation Service feature</w:t>
            </w:r>
          </w:p>
        </w:tc>
      </w:tr>
      <w:tr>
        <w:tc>
          <w:tcPr/>
          <w:p>
            <w:pPr>
              <w:pStyle w:val="Compact"/>
            </w:pPr>
          </w:p>
        </w:tc>
        <w:tc>
          <w:tcPr/>
          <w:p>
            <w:pPr>
              <w:pStyle w:val="Compact"/>
              <w:jc w:val="left"/>
            </w:pPr>
            <w:r>
              <w:t xml:space="preserve">Microsoft .NET Framework version 3.5</w:t>
            </w:r>
          </w:p>
        </w:tc>
      </w:tr>
    </w:tbl>
    <w:p>
      <w:pPr>
        <w:pStyle w:val="BodyText"/>
      </w:pPr>
    </w:p>
    <w:bookmarkEnd w:id="45"/>
    <w:bookmarkStart w:id="46"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bookmarkEnd w:id="46"/>
    <w:bookmarkEnd w:id="47"/>
    <w:bookmarkStart w:id="52" w:name="seguridad.2.-lineabase.0.sui-aplicación"/>
    <w:p>
      <w:pPr>
        <w:pStyle w:val="Heading2"/>
      </w:pPr>
      <w:r>
        <w:t xml:space="preserve">Seguridad.2. Lineabase.0.SUI Aplicación</w:t>
      </w:r>
    </w:p>
    <w:bookmarkStart w:id="0" w:name="fig:Seguridad.2.Lineabase.0.SUIAplicación"/>
    <w:p>
      <w:pPr>
        <w:pStyle w:val="CaptionedFigure"/>
      </w:pPr>
      <w:bookmarkStart w:id="51" w:name="Xb14a6466c83a2f669b06c36e912e432fab6e993"/>
      <w:r>
        <w:drawing>
          <wp:inline>
            <wp:extent cx="5943600" cy="4279938"/>
            <wp:effectExtent b="0" l="0" r="0" t="0"/>
            <wp:docPr descr="Figure 4: Vista. Seguridad.2. Lineabase.0.SUI Aplicación" title="" id="49" name="Picture"/>
            <a:graphic>
              <a:graphicData uri="http://schemas.openxmlformats.org/drawingml/2006/picture">
                <pic:pic>
                  <pic:nvPicPr>
                    <pic:cNvPr descr="images/Seguridad.2.Lineabase.0.SUIAplicación.png" id="50" name="Picture"/>
                    <pic:cNvPicPr>
                      <a:picLocks noChangeArrowheads="1" noChangeAspect="1"/>
                    </pic:cNvPicPr>
                  </pic:nvPicPr>
                  <pic:blipFill>
                    <a:blip r:embed="rId48"/>
                    <a:stretch>
                      <a:fillRect/>
                    </a:stretch>
                  </pic:blipFill>
                  <pic:spPr bwMode="auto">
                    <a:xfrm>
                      <a:off x="0" y="0"/>
                      <a:ext cx="5943600" cy="4279938"/>
                    </a:xfrm>
                    <a:prstGeom prst="rect">
                      <a:avLst/>
                    </a:prstGeom>
                    <a:noFill/>
                    <a:ln w="9525">
                      <a:noFill/>
                      <a:headEnd/>
                      <a:tailEnd/>
                    </a:ln>
                  </pic:spPr>
                </pic:pic>
              </a:graphicData>
            </a:graphic>
          </wp:inline>
        </w:drawing>
      </w:r>
      <w:bookmarkEnd w:id="51"/>
    </w:p>
    <w:p>
      <w:pPr>
        <w:pStyle w:val="ImageCaption"/>
      </w:pPr>
      <w:r>
        <w:t xml:space="preserve">Figure 4: Vista. Seguridad.2. Lineabase.0.SUI Aplicación</w:t>
      </w:r>
    </w:p>
    <w:bookmarkEnd w:id="0"/>
    <w:bookmarkEnd w:id="52"/>
    <w:bookmarkStart w:id="67" w:name="Xaa7a0a8e3c9889cf0a1eab83b3b00e1a3ca422b"/>
    <w:p>
      <w:pPr>
        <w:pStyle w:val="Heading2"/>
      </w:pPr>
      <w:r>
        <w:t xml:space="preserve">Metodología Seguridad Sistema Único de Información (SUI)</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53" w:name="X0d58178b0faba90fdf32ff427faa0e8730e0dea"/>
    <w:p>
      <w:pPr>
        <w:pStyle w:val="Heading3"/>
      </w:pPr>
      <w:r>
        <w:t xml:space="preserve">Gestión de identidades y Control de acceso</w:t>
      </w:r>
    </w:p>
    <w:p>
      <w:pPr>
        <w:pStyle w:val="FirstParagraph"/>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bookmarkEnd w:id="53"/>
    <w:bookmarkStart w:id="54" w:name="X96f29f3e1a383bd3ab7738399883bf8f62ef45d"/>
    <w:p>
      <w:pPr>
        <w:pStyle w:val="Heading3"/>
      </w:pPr>
      <w:r>
        <w:t xml:space="preserve">Reglas de Creación de Usuarios e Identifiación de Privilegios</w:t>
      </w:r>
    </w:p>
    <w:p>
      <w:pPr>
        <w:pStyle w:val="FirstParagraph"/>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p>
    <w:p>
      <w:pPr>
        <w:pStyle w:val="BodyText"/>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54"/>
    <w:bookmarkStart w:id="55" w:name="aprovisionamiento-de-cuentas"/>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55"/>
    <w:bookmarkStart w:id="56" w:name="mecanismos-de-control-de-acceso"/>
    <w:p>
      <w:pPr>
        <w:pStyle w:val="Heading3"/>
      </w:pPr>
      <w:r>
        <w:t xml:space="preserve">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56"/>
    <w:bookmarkStart w:id="57" w:name="definición-de-privilegios-y-accesos"/>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57"/>
    <w:bookmarkStart w:id="58" w:name="configuración-de-permisos"/>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bookmarkEnd w:id="58"/>
    <w:bookmarkStart w:id="59" w:name="identificación-de-roles-y-privilegios"/>
    <w:p>
      <w:pPr>
        <w:pStyle w:val="Heading3"/>
      </w:pPr>
      <w:r>
        <w:t xml:space="preserve">Identificación de Roles y Privilegios</w:t>
      </w:r>
    </w:p>
    <w:p>
      <w:pPr>
        <w:pStyle w:val="FirstParagraph"/>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59"/>
    <w:bookmarkStart w:id="60" w:name="aprovisionamiento-de-cuentas-1"/>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60"/>
    <w:bookmarkStart w:id="61" w:name="X48d25bcfcf3274069ffc1b6019fb69b8e8e08d8"/>
    <w:p>
      <w:pPr>
        <w:pStyle w:val="Heading3"/>
      </w:pPr>
      <w:r>
        <w:t xml:space="preserve">Establecimiento de 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61"/>
    <w:bookmarkStart w:id="62" w:name="definición-de-privilegios-y-accesos-1"/>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62"/>
    <w:bookmarkStart w:id="63" w:name="configuración-de-permisos-1"/>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así evitar manipulación de información confidencial. La Seguridad que brinda SSL, da garantía para acceder a los aplicativos de PNG.</w:t>
      </w:r>
    </w:p>
    <w:bookmarkEnd w:id="63"/>
    <w:bookmarkStart w:id="64" w:name="cómo-implementar-certificados-ssl"/>
    <w:p>
      <w:pPr>
        <w:pStyle w:val="Heading3"/>
      </w:pPr>
      <w:r>
        <w:t xml:space="preserve">Cómo implementar certificados SSL</w:t>
      </w:r>
    </w:p>
    <w:p>
      <w:pPr>
        <w:pStyle w:val="FirstParagraph"/>
      </w:pPr>
      <w:r>
        <w:t xml:space="preserve">Podrán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envío de la información, proporcionando una autenticación sólida, restringiendo la manipulación, interceptación y alteración de mensajes.</w:t>
      </w:r>
    </w:p>
    <w:p>
      <w:pPr>
        <w:pStyle w:val="BodyText"/>
      </w:pPr>
      <w:r>
        <w:t xml:space="preserve">La última versión del TLS es la 1.3</w:t>
      </w:r>
    </w:p>
    <w:bookmarkEnd w:id="64"/>
    <w:bookmarkStart w:id="65" w:name="representación-arquitectónica"/>
    <w:p>
      <w:pPr>
        <w:pStyle w:val="Heading3"/>
      </w:pPr>
      <w:r>
        <w:t xml:space="preserve">Representación Arquitectónica</w:t>
      </w:r>
    </w:p>
    <w:p>
      <w:pPr>
        <w:pStyle w:val="FirstParagraph"/>
      </w:pPr>
      <w:r>
        <w:t xml:space="preserve">Con una arquitectura orientada a servicios SUI recopila:</w:t>
      </w:r>
    </w:p>
    <w:p>
      <w:pPr>
        <w:numPr>
          <w:ilvl w:val="0"/>
          <w:numId w:val="1011"/>
        </w:numPr>
        <w:pStyle w:val="Compact"/>
      </w:pPr>
      <w:r>
        <w:t xml:space="preserve">Runtime: Es el servicio que interactúa con el usuario final (GUI) elaborado en Angular 11</w:t>
      </w:r>
    </w:p>
    <w:p>
      <w:pPr>
        <w:numPr>
          <w:ilvl w:val="0"/>
          <w:numId w:val="1011"/>
        </w:numPr>
        <w:pStyle w:val="Compact"/>
      </w:pPr>
      <w:r>
        <w:t xml:space="preserve">API Tx: Servicio API REST Base Node encargado de realizar las transacciones básicas CRUD</w:t>
      </w:r>
    </w:p>
    <w:p>
      <w:pPr>
        <w:numPr>
          <w:ilvl w:val="0"/>
          <w:numId w:val="1011"/>
        </w:numPr>
        <w:pStyle w:val="Compact"/>
      </w:pPr>
      <w:r>
        <w:t xml:space="preserve">API Config / Seguridad. Servicio Web API .Net Framework encargado de gestionar características con la autenticación y configuración</w:t>
      </w:r>
    </w:p>
    <w:p>
      <w:pPr>
        <w:pStyle w:val="FirstParagraph"/>
      </w:pPr>
    </w:p>
    <w:bookmarkEnd w:id="65"/>
    <w:bookmarkStart w:id="66"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bookmarkEnd w:id="66"/>
    <w:bookmarkEnd w:id="67"/>
    <w:bookmarkStart w:id="73" w:name="migracion.6.-migración-de-datos"/>
    <w:p>
      <w:pPr>
        <w:pStyle w:val="Heading2"/>
      </w:pPr>
      <w:r>
        <w:t xml:space="preserve">Migracion.6. Migración de datos</w:t>
      </w:r>
    </w:p>
    <w:bookmarkStart w:id="0" w:name="fig:Migracion.6.Migracióndedatos"/>
    <w:p>
      <w:pPr>
        <w:pStyle w:val="CaptionedFigure"/>
      </w:pPr>
      <w:bookmarkStart w:id="71" w:name="fig:Migracion.6.Migracióndedatos"/>
      <w:r>
        <w:drawing>
          <wp:inline>
            <wp:extent cx="4864608" cy="2245659"/>
            <wp:effectExtent b="0" l="0" r="0" t="0"/>
            <wp:docPr descr="Figure 5: Vista. Migracion.6. Migración de datos" title="" id="69" name="Picture"/>
            <a:graphic>
              <a:graphicData uri="http://schemas.openxmlformats.org/drawingml/2006/picture">
                <pic:pic>
                  <pic:nvPicPr>
                    <pic:cNvPr descr="images/Migracion.6.Migracióndedatos.png" id="70" name="Picture"/>
                    <pic:cNvPicPr>
                      <a:picLocks noChangeArrowheads="1" noChangeAspect="1"/>
                    </pic:cNvPicPr>
                  </pic:nvPicPr>
                  <pic:blipFill>
                    <a:blip r:embed="rId68"/>
                    <a:stretch>
                      <a:fillRect/>
                    </a:stretch>
                  </pic:blipFill>
                  <pic:spPr bwMode="auto">
                    <a:xfrm>
                      <a:off x="0" y="0"/>
                      <a:ext cx="4864608" cy="2245659"/>
                    </a:xfrm>
                    <a:prstGeom prst="rect">
                      <a:avLst/>
                    </a:prstGeom>
                    <a:noFill/>
                    <a:ln w="9525">
                      <a:noFill/>
                      <a:headEnd/>
                      <a:tailEnd/>
                    </a:ln>
                  </pic:spPr>
                </pic:pic>
              </a:graphicData>
            </a:graphic>
          </wp:inline>
        </w:drawing>
      </w:r>
      <w:bookmarkEnd w:id="71"/>
    </w:p>
    <w:p>
      <w:pPr>
        <w:pStyle w:val="ImageCaption"/>
      </w:pPr>
      <w:r>
        <w:t xml:space="preserve">Figure 5: Vista. Migracion.6. Migración de datos</w:t>
      </w:r>
    </w:p>
    <w:bookmarkEnd w:id="0"/>
    <w:p>
      <w:pPr>
        <w:pStyle w:val="BodyText"/>
      </w:pPr>
      <w:r>
        <w:t xml:space="preserve">Modelo de acceso a datos de negocio del SIM.</w:t>
      </w:r>
    </w:p>
    <w:p>
      <w:pPr>
        <w:pStyle w:val="BodyText"/>
      </w:pPr>
      <w:r>
        <w:t xml:space="preserve">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72"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 2</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3</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4</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bl>
    <w:p>
      <w:pPr>
        <w:pStyle w:val="BodyText"/>
      </w:pPr>
    </w:p>
    <w:p>
      <w:r>
        <w:br w:type="page"/>
      </w:r>
    </w:p>
    <w:bookmarkEnd w:id="72"/>
    <w:bookmarkEnd w:id="73"/>
    <w:bookmarkEnd w:id="74"/>
    <w:bookmarkStart w:id="84" w:name="X51db734b0c6c45519e8763ed857e3b1bb3c993c"/>
    <w:p>
      <w:pPr>
        <w:pStyle w:val="Heading1"/>
      </w:pPr>
      <w:r>
        <w:t xml:space="preserve">Documento sobre especificaciones técnicas de infraestructura TI</w:t>
      </w:r>
    </w:p>
    <w:bookmarkStart w:id="83" w:name="lineabase.0.sui-aplicación.-física-1"/>
    <w:p>
      <w:pPr>
        <w:pStyle w:val="Heading2"/>
      </w:pPr>
      <w:r>
        <w:t xml:space="preserve">Lineabase.0.SUI Aplicación. Física</w:t>
      </w:r>
    </w:p>
    <w:bookmarkStart w:id="0" w:name="fig:Lineabase.0.SUIAplicación.Física"/>
    <w:p>
      <w:pPr>
        <w:pStyle w:val="CaptionedFigure"/>
      </w:pPr>
      <w:bookmarkStart w:id="77" w:name="fig:Lineabase.0.SUIAplicación.Física"/>
      <w:r>
        <w:drawing>
          <wp:inline>
            <wp:extent cx="5943600" cy="3905662"/>
            <wp:effectExtent b="0" l="0" r="0" t="0"/>
            <wp:docPr descr="Figure 6: Vista. Lineabase.0.SUI Aplicación. Física" title="" id="75" name="Picture"/>
            <a:graphic>
              <a:graphicData uri="http://schemas.openxmlformats.org/drawingml/2006/picture">
                <pic:pic>
                  <pic:nvPicPr>
                    <pic:cNvPr descr="images/Lineabase.0.SUIAplicación.Física.png" id="76" name="Picture"/>
                    <pic:cNvPicPr>
                      <a:picLocks noChangeArrowheads="1" noChangeAspect="1"/>
                    </pic:cNvPicPr>
                  </pic:nvPicPr>
                  <pic:blipFill>
                    <a:blip r:embed="rId38"/>
                    <a:stretch>
                      <a:fillRect/>
                    </a:stretch>
                  </pic:blipFill>
                  <pic:spPr bwMode="auto">
                    <a:xfrm>
                      <a:off x="0" y="0"/>
                      <a:ext cx="5943600" cy="3905662"/>
                    </a:xfrm>
                    <a:prstGeom prst="rect">
                      <a:avLst/>
                    </a:prstGeom>
                    <a:noFill/>
                    <a:ln w="9525">
                      <a:noFill/>
                      <a:headEnd/>
                      <a:tailEnd/>
                    </a:ln>
                  </pic:spPr>
                </pic:pic>
              </a:graphicData>
            </a:graphic>
          </wp:inline>
        </w:drawing>
      </w:r>
      <w:bookmarkEnd w:id="77"/>
    </w:p>
    <w:p>
      <w:pPr>
        <w:pStyle w:val="ImageCaption"/>
      </w:pPr>
      <w:r>
        <w:t xml:space="preserve">Figure 6: Vista. Lineabase.0.SUI Aplicación. Física</w:t>
      </w:r>
    </w:p>
    <w:bookmarkEnd w:id="0"/>
    <w:p>
      <w:pPr>
        <w:pStyle w:val="BodyText"/>
      </w:pPr>
      <w:r>
        <w:t xml:space="preserve">Procuraduría General de la Nación (PGN), módulo Sistema Único de Información (SUI), 2023. Elementos físicos que soportan a la aplicación doc Sistema Único de Información (SUI) de la PGN, actual Fase I y existente en Fase II. Presentación de componentes de software y tecnología física (hardware) implementados en la Fase I y requeridos por Fase II (presente proyecto).</w:t>
      </w:r>
    </w:p>
    <w:bookmarkStart w:id="78" w:name="representación-de-arquitectura-1"/>
    <w:p>
      <w:pPr>
        <w:pStyle w:val="Heading3"/>
      </w:pPr>
      <w:r>
        <w:t xml:space="preserve">Representación de Arquitectura</w:t>
      </w:r>
    </w:p>
    <w:p>
      <w:pPr>
        <w:pStyle w:val="FirstParagraph"/>
      </w:pPr>
      <w:r>
        <w:t xml:space="preserve">Con una arquitectura orientada a servicios Sistema Único de Información (SUI) recopila:</w:t>
      </w:r>
    </w:p>
    <w:p>
      <w:pPr>
        <w:numPr>
          <w:ilvl w:val="0"/>
          <w:numId w:val="1012"/>
        </w:numPr>
        <w:pStyle w:val="Compact"/>
      </w:pPr>
      <w:r>
        <w:t xml:space="preserve">Runtime: Es el servicio que interactúa con el usuario final (GUI) elaborado en Angular 11</w:t>
      </w:r>
    </w:p>
    <w:p>
      <w:pPr>
        <w:numPr>
          <w:ilvl w:val="0"/>
          <w:numId w:val="1012"/>
        </w:numPr>
        <w:pStyle w:val="Compact"/>
      </w:pPr>
      <w:r>
        <w:t xml:space="preserve">API Tx: Servicio API REST Base Node encargado de realizar las transacciones básicas CRUD</w:t>
      </w:r>
    </w:p>
    <w:p>
      <w:pPr>
        <w:numPr>
          <w:ilvl w:val="0"/>
          <w:numId w:val="1012"/>
        </w:numPr>
        <w:pStyle w:val="Compact"/>
      </w:pPr>
      <w:r>
        <w:t xml:space="preserve">API Config / Seguridad. Servicio Web API .Net Framework encargado de gestionar características con la autenticación y configuración</w:t>
      </w:r>
    </w:p>
    <w:p>
      <w:pPr>
        <w:pStyle w:val="FirstParagraph"/>
      </w:pPr>
    </w:p>
    <w:bookmarkEnd w:id="78"/>
    <w:bookmarkStart w:id="79" w:name="Xef8a0a2f925e90bd0b09c96826161d69d4d5eeb"/>
    <w:p>
      <w:pPr>
        <w:pStyle w:val="Heading3"/>
      </w:pPr>
      <w:r>
        <w:t xml:space="preserve">Especificaciones Plataformas y Versiones</w:t>
      </w:r>
    </w:p>
    <w:p>
      <w:pPr>
        <w:numPr>
          <w:ilvl w:val="0"/>
          <w:numId w:val="1013"/>
        </w:numPr>
        <w:pStyle w:val="Compact"/>
      </w:pPr>
      <w:r>
        <w:t xml:space="preserve">Angular, versión 11</w:t>
      </w:r>
    </w:p>
    <w:p>
      <w:pPr>
        <w:numPr>
          <w:ilvl w:val="0"/>
          <w:numId w:val="1013"/>
        </w:numPr>
        <w:pStyle w:val="Compact"/>
      </w:pPr>
      <w:r>
        <w:t xml:space="preserve">Node Js, versión 14.16</w:t>
      </w:r>
    </w:p>
    <w:p>
      <w:pPr>
        <w:numPr>
          <w:ilvl w:val="0"/>
          <w:numId w:val="1013"/>
        </w:numPr>
        <w:pStyle w:val="Compact"/>
      </w:pPr>
      <w:r>
        <w:t xml:space="preserve">Net Entity Framework, versión 4.7</w:t>
      </w:r>
    </w:p>
    <w:p>
      <w:pPr>
        <w:numPr>
          <w:ilvl w:val="0"/>
          <w:numId w:val="1013"/>
        </w:numPr>
        <w:pStyle w:val="Compact"/>
      </w:pPr>
      <w:r>
        <w:t xml:space="preserve">Sequelize, versión 5.3</w:t>
      </w:r>
    </w:p>
    <w:p>
      <w:pPr>
        <w:pStyle w:val="FirstParagraph"/>
      </w:pPr>
    </w:p>
    <w:bookmarkEnd w:id="79"/>
    <w:bookmarkStart w:id="80" w:name="X408946992e8089c69193a8ea8ee7c86ed2b2a2a"/>
    <w:p>
      <w:pPr>
        <w:pStyle w:val="Heading3"/>
      </w:pPr>
      <w:r>
        <w:t xml:space="preserve">Especificaciones de Librerías y Dependencias</w:t>
      </w:r>
    </w:p>
    <w:p>
      <w:pPr>
        <w:numPr>
          <w:ilvl w:val="0"/>
          <w:numId w:val="1014"/>
        </w:numPr>
        <w:pStyle w:val="Compact"/>
      </w:pPr>
      <w:r>
        <w:t xml:space="preserve">Web Server (IIS) role</w:t>
      </w:r>
    </w:p>
    <w:p>
      <w:pPr>
        <w:numPr>
          <w:ilvl w:val="0"/>
          <w:numId w:val="1014"/>
        </w:numPr>
        <w:pStyle w:val="Compact"/>
      </w:pPr>
      <w:r>
        <w:t xml:space="preserve">Windows Process Activation Service feature</w:t>
      </w:r>
    </w:p>
    <w:p>
      <w:pPr>
        <w:numPr>
          <w:ilvl w:val="0"/>
          <w:numId w:val="1014"/>
        </w:numPr>
        <w:pStyle w:val="Compact"/>
      </w:pPr>
      <w:r>
        <w:t xml:space="preserve">Microsoft .NET Framework version 3.5</w:t>
      </w:r>
    </w:p>
    <w:p>
      <w:pPr>
        <w:numPr>
          <w:ilvl w:val="0"/>
          <w:numId w:val="1014"/>
        </w:numPr>
        <w:pStyle w:val="Compact"/>
      </w:pPr>
      <w:r>
        <w:t xml:space="preserve">Microsoft .NET Framework version 4.7.2</w:t>
      </w:r>
    </w:p>
    <w:p>
      <w:pPr>
        <w:numPr>
          <w:ilvl w:val="0"/>
          <w:numId w:val="1014"/>
        </w:numPr>
        <w:pStyle w:val="Compact"/>
      </w:pPr>
      <w:r>
        <w:t xml:space="preserve">Microsoft SQL Server 2012 Service Pack 4 Native Client</w:t>
      </w:r>
    </w:p>
    <w:p>
      <w:pPr>
        <w:numPr>
          <w:ilvl w:val="0"/>
          <w:numId w:val="1014"/>
        </w:numPr>
        <w:pStyle w:val="Compact"/>
      </w:pPr>
      <w:r>
        <w:t xml:space="preserve">Microsoft WCF Data Services 5.6</w:t>
      </w:r>
    </w:p>
    <w:p>
      <w:pPr>
        <w:numPr>
          <w:ilvl w:val="0"/>
          <w:numId w:val="1014"/>
        </w:numPr>
        <w:pStyle w:val="Compact"/>
      </w:pPr>
      <w:r>
        <w:t xml:space="preserve">Microsoft Identity Extensions</w:t>
      </w:r>
    </w:p>
    <w:p>
      <w:pPr>
        <w:numPr>
          <w:ilvl w:val="0"/>
          <w:numId w:val="1014"/>
        </w:numPr>
        <w:pStyle w:val="Compact"/>
      </w:pPr>
      <w:r>
        <w:t xml:space="preserve">Microsoft Information Protection and Control Client 2.1 (MSIPC)</w:t>
      </w:r>
    </w:p>
    <w:p>
      <w:pPr>
        <w:numPr>
          <w:ilvl w:val="0"/>
          <w:numId w:val="1014"/>
        </w:numPr>
        <w:pStyle w:val="Compact"/>
      </w:pPr>
      <w:r>
        <w:t xml:space="preserve">Cumulative Update Package 7 for Microsoft AppFabric 1.1 for Windows Server (KB 3092423)</w:t>
      </w:r>
    </w:p>
    <w:p>
      <w:pPr>
        <w:numPr>
          <w:ilvl w:val="0"/>
          <w:numId w:val="1014"/>
        </w:numPr>
        <w:pStyle w:val="Compact"/>
      </w:pPr>
      <w:r>
        <w:t xml:space="preserve">Visual C++ Redistributable Package for Visual Studio 2012</w:t>
      </w:r>
    </w:p>
    <w:p>
      <w:pPr>
        <w:numPr>
          <w:ilvl w:val="0"/>
          <w:numId w:val="1014"/>
        </w:numPr>
        <w:pStyle w:val="Compact"/>
      </w:pPr>
      <w:r>
        <w:t xml:space="preserve">Visual C++ Redistributable Package for Visual Studio 2017</w:t>
      </w:r>
    </w:p>
    <w:p>
      <w:pPr>
        <w:pStyle w:val="FirstParagraph"/>
      </w:pPr>
    </w:p>
    <w:bookmarkEnd w:id="80"/>
    <w:bookmarkStart w:id="81" w:name="especificaciones-base-de-servidores-2"/>
    <w:p>
      <w:pPr>
        <w:pStyle w:val="Heading3"/>
      </w:pPr>
      <w:r>
        <w:t xml:space="preserve">Especificaciones Base de Servidores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Servidor de Aplicaciones</w:t>
            </w:r>
          </w:p>
        </w:tc>
        <w:tc>
          <w:tcPr/>
          <w:p>
            <w:pPr>
              <w:pStyle w:val="Compact"/>
              <w:jc w:val="left"/>
            </w:pPr>
            <w:r>
              <w:t xml:space="preserve">Especificaciones del Servidor</w:t>
            </w:r>
          </w:p>
        </w:tc>
      </w:tr>
      <w:tr>
        <w:tc>
          <w:tcPr/>
          <w:p>
            <w:pPr>
              <w:pStyle w:val="Compact"/>
              <w:jc w:val="left"/>
            </w:pPr>
            <w:r>
              <w:t xml:space="preserve">Sistema Operativo</w:t>
            </w:r>
          </w:p>
        </w:tc>
        <w:tc>
          <w:tcPr/>
          <w:p>
            <w:pPr>
              <w:pStyle w:val="Compact"/>
              <w:jc w:val="left"/>
            </w:pPr>
            <w:r>
              <w:t xml:space="preserve">Windows Server 2019 Standard or Datacenter x64</w:t>
            </w:r>
          </w:p>
        </w:tc>
      </w:tr>
      <w:tr>
        <w:tc>
          <w:tcPr/>
          <w:p>
            <w:pPr>
              <w:pStyle w:val="Compact"/>
              <w:jc w:val="left"/>
            </w:pPr>
            <w:r>
              <w:t xml:space="preserve">RAM</w:t>
            </w:r>
          </w:p>
        </w:tc>
        <w:tc>
          <w:tcPr/>
          <w:p>
            <w:pPr>
              <w:pStyle w:val="Compact"/>
              <w:jc w:val="left"/>
            </w:pPr>
            <w:r>
              <w:t xml:space="preserve">16 GB</w:t>
            </w:r>
          </w:p>
        </w:tc>
      </w:tr>
      <w:tr>
        <w:tc>
          <w:tcPr/>
          <w:p>
            <w:pPr>
              <w:pStyle w:val="Compact"/>
              <w:jc w:val="left"/>
            </w:pPr>
            <w:r>
              <w:t xml:space="preserve">CPU</w:t>
            </w:r>
          </w:p>
        </w:tc>
        <w:tc>
          <w:tcPr/>
          <w:p>
            <w:pPr>
              <w:pStyle w:val="Compact"/>
              <w:jc w:val="left"/>
            </w:pPr>
            <w:r>
              <w:t xml:space="preserve">64 Bits, mínimo 4 Cores &gt; 2 Ghz</w:t>
            </w:r>
          </w:p>
        </w:tc>
      </w:tr>
      <w:tr>
        <w:tc>
          <w:tcPr/>
          <w:p>
            <w:pPr>
              <w:pStyle w:val="Compact"/>
              <w:jc w:val="left"/>
            </w:pPr>
            <w:r>
              <w:t xml:space="preserve">Discos</w:t>
            </w:r>
          </w:p>
        </w:tc>
        <w:tc>
          <w:tcPr/>
          <w:p>
            <w:pPr>
              <w:pStyle w:val="Compact"/>
              <w:jc w:val="left"/>
            </w:pPr>
            <w:r>
              <w:t xml:space="preserve">C: 120 GB, D: 16 GB</w:t>
            </w:r>
          </w:p>
        </w:tc>
      </w:tr>
      <w:tr>
        <w:tc>
          <w:tcPr/>
          <w:p>
            <w:pPr>
              <w:pStyle w:val="Compact"/>
              <w:jc w:val="left"/>
            </w:pPr>
            <w:r>
              <w:t xml:space="preserve">Físico/virtual</w:t>
            </w:r>
          </w:p>
        </w:tc>
        <w:tc>
          <w:tcPr/>
          <w:p>
            <w:pPr>
              <w:pStyle w:val="Compact"/>
              <w:jc w:val="left"/>
            </w:pPr>
            <w:r>
              <w:t xml:space="preserve">Virtual</w:t>
            </w:r>
          </w:p>
        </w:tc>
      </w:tr>
      <w:tr>
        <w:tc>
          <w:tcPr/>
          <w:p>
            <w:pPr>
              <w:pStyle w:val="Compact"/>
              <w:jc w:val="left"/>
            </w:pPr>
            <w:r>
              <w:t xml:space="preserve">Roles / Features</w:t>
            </w:r>
          </w:p>
        </w:tc>
        <w:tc>
          <w:tcPr/>
          <w:p>
            <w:pPr>
              <w:pStyle w:val="Compact"/>
              <w:jc w:val="left"/>
            </w:pPr>
            <w:r>
              <w:t xml:space="preserve">Web Server (IIS) role</w:t>
            </w:r>
          </w:p>
        </w:tc>
      </w:tr>
      <w:tr>
        <w:tc>
          <w:tcPr/>
          <w:p>
            <w:pPr>
              <w:pStyle w:val="Compact"/>
            </w:pPr>
          </w:p>
        </w:tc>
        <w:tc>
          <w:tcPr/>
          <w:p>
            <w:pPr>
              <w:pStyle w:val="Compact"/>
              <w:jc w:val="left"/>
            </w:pPr>
            <w:r>
              <w:t xml:space="preserve">Windows Process Activation Service feature</w:t>
            </w:r>
          </w:p>
        </w:tc>
      </w:tr>
      <w:tr>
        <w:tc>
          <w:tcPr/>
          <w:p>
            <w:pPr>
              <w:pStyle w:val="Compact"/>
            </w:pPr>
          </w:p>
        </w:tc>
        <w:tc>
          <w:tcPr/>
          <w:p>
            <w:pPr>
              <w:pStyle w:val="Compact"/>
              <w:jc w:val="left"/>
            </w:pPr>
            <w:r>
              <w:t xml:space="preserve">Microsoft .NET Framework version 3.5</w:t>
            </w:r>
          </w:p>
        </w:tc>
      </w:tr>
    </w:tbl>
    <w:p>
      <w:pPr>
        <w:pStyle w:val="BodyText"/>
      </w:pPr>
    </w:p>
    <w:bookmarkEnd w:id="81"/>
    <w:bookmarkStart w:id="82"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pPr>
        <w:pStyle w:val="BodyText"/>
      </w:pPr>
      <w:r>
        <w:rPr>
          <w:rStyle w:val="VerbatimChar"/>
        </w:rPr>
        <w:t xml:space="preserve">Generated on: Tue Dec 05 2023 13:55:04 GMT-0500 (COT)</w:t>
      </w:r>
    </w:p>
    <w:bookmarkEnd w:id="82"/>
    <w:bookmarkEnd w:id="83"/>
    <w:bookmarkEnd w:id="84"/>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8" Target="media/rId38.png" /><Relationship Type="http://schemas.openxmlformats.org/officeDocument/2006/relationships/image" Id="rId31" Target="media/rId31.png" /><Relationship Type="http://schemas.openxmlformats.org/officeDocument/2006/relationships/image" Id="rId21" Target="media/rId21.png" /><Relationship Type="http://schemas.openxmlformats.org/officeDocument/2006/relationships/image" Id="rId68" Target="media/rId68.png" /><Relationship Type="http://schemas.openxmlformats.org/officeDocument/2006/relationships/image" Id="rId48" Target="media/rId48.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2023-12-05T18:58:07Z</dcterms:created>
  <dcterms:modified xsi:type="dcterms:W3CDTF">2023-12-05T18:58:07Z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