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1.png" ContentType="image/png"/>
  <Override PartName="/word/media/rId41.png" ContentType="image/png"/>
  <Override PartName="/word/media/rId48.png" ContentType="image/png"/>
  <Override PartName="/word/media/rId55.png" ContentType="image/png"/>
  <Override PartName="/word/media/rId73.png" ContentType="image/png"/>
  <Override PartName="/word/media/rId67.png" ContentType="image/png"/>
  <Override PartName="/word/media/rId6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1.90a2e36 de 22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22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Softgic@90a2e36</w:t>
        </w:r>
      </w:hyperlink>
      <w:r>
        <w:t xml:space="preserve"> </w:t>
      </w:r>
      <w:r>
        <w:t xml:space="preserve">del October 22,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1.fe68d66</w:t>
            </w:r>
          </w:p>
        </w:tc>
        <w:tc>
          <w:tcPr/>
          <w:p>
            <w:pPr>
              <w:pStyle w:val="Compact"/>
              <w:jc w:val="left"/>
            </w:pPr>
            <w:r>
              <w:t xml:space="preserve">2023-09-14. pndc</w:t>
            </w:r>
          </w:p>
        </w:tc>
      </w:tr>
      <w:tr>
        <w:tc>
          <w:tcPr/>
          <w:p>
            <w:pPr>
              <w:pStyle w:val="Compact"/>
              <w:jc w:val="left"/>
            </w:pPr>
            <w:r>
              <w:t xml:space="preserve">1.541d195</w:t>
            </w:r>
          </w:p>
        </w:tc>
        <w:tc>
          <w:tcPr/>
          <w:p>
            <w:pPr>
              <w:pStyle w:val="Compact"/>
              <w:jc w:val="left"/>
            </w:pPr>
            <w:r>
              <w:t xml:space="preserve">2023-09-14. build</w:t>
            </w:r>
          </w:p>
        </w:tc>
      </w:tr>
      <w:tr>
        <w:tc>
          <w:tcPr/>
          <w:p>
            <w:pPr>
              <w:pStyle w:val="Compact"/>
              <w:jc w:val="left"/>
            </w:pPr>
            <w:r>
              <w:t xml:space="preserve">1.73e25f8</w:t>
            </w:r>
          </w:p>
        </w:tc>
        <w:tc>
          <w:tcPr/>
          <w:p>
            <w:pPr>
              <w:pStyle w:val="Compact"/>
              <w:jc w:val="left"/>
            </w:pPr>
            <w:r>
              <w:t xml:space="preserve">2023-09-14. archicli</w:t>
            </w:r>
          </w:p>
        </w:tc>
      </w:tr>
      <w:tr>
        <w:tc>
          <w:tcPr/>
          <w:p>
            <w:pPr>
              <w:pStyle w:val="Compact"/>
              <w:jc w:val="left"/>
            </w:pPr>
            <w:r>
              <w:t xml:space="preserve">1.c9a97d7</w:t>
            </w:r>
          </w:p>
        </w:tc>
        <w:tc>
          <w:tcPr/>
          <w:p>
            <w:pPr>
              <w:pStyle w:val="Compact"/>
              <w:jc w:val="left"/>
            </w:pPr>
            <w:r>
              <w:t xml:space="preserve">2023-09-14. archicli</w:t>
            </w:r>
          </w:p>
        </w:tc>
      </w:tr>
      <w:tr>
        <w:tc>
          <w:tcPr/>
          <w:p>
            <w:pPr>
              <w:pStyle w:val="Compact"/>
              <w:jc w:val="left"/>
            </w:pPr>
            <w:r>
              <w:t xml:space="preserve">1.74c42e1</w:t>
            </w:r>
          </w:p>
        </w:tc>
        <w:tc>
          <w:tcPr/>
          <w:p>
            <w:pPr>
              <w:pStyle w:val="Compact"/>
              <w:jc w:val="left"/>
            </w:pPr>
            <w:r>
              <w:t xml:space="preserve">2023-09-14. dd</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información-datos"/>
    <w:p>
      <w:pPr>
        <w:pStyle w:val="Heading1"/>
      </w:pPr>
      <w:r>
        <w:t xml:space="preserve">Arquitectura de Información (Datos)</w:t>
      </w:r>
    </w:p>
    <w:p>
      <w:pPr>
        <w:numPr>
          <w:ilvl w:val="0"/>
          <w:numId w:val="1005"/>
        </w:numPr>
        <w:pStyle w:val="Compact"/>
      </w:pPr>
      <w:hyperlink w:anchor="diagrama-modelo-de-datos-conceptual">
        <w:r>
          <w:rPr>
            <w:rStyle w:val="Hyperlink"/>
          </w:rPr>
          <w:t xml:space="preserve">Diagrama Modelo de Datos Conceptual</w:t>
        </w:r>
      </w:hyperlink>
    </w:p>
    <w:p>
      <w:pPr>
        <w:numPr>
          <w:ilvl w:val="1"/>
          <w:numId w:val="1006"/>
        </w:numPr>
        <w:pStyle w:val="Compact"/>
      </w:pPr>
      <w:hyperlink w:anchor="migracion.2a.a1.datos-lógico">
        <w:r>
          <w:rPr>
            <w:rStyle w:val="Hyperlink"/>
          </w:rPr>
          <w:t xml:space="preserve">Migracion.2a.a1.Datos Lógico</w:t>
        </w:r>
      </w:hyperlink>
    </w:p>
    <w:p>
      <w:pPr>
        <w:numPr>
          <w:ilvl w:val="0"/>
          <w:numId w:val="1005"/>
        </w:numPr>
        <w:pStyle w:val="Compact"/>
      </w:pPr>
      <w:hyperlink w:anchor="Xe71045aac466766839e79615b3fbfc6bf181240">
        <w:r>
          <w:rPr>
            <w:rStyle w:val="Hyperlink"/>
          </w:rPr>
          <w:t xml:space="preserve">Diagrama Modelo de Datos Físico (diagramas entidad-relación)</w:t>
        </w:r>
      </w:hyperlink>
    </w:p>
    <w:p>
      <w:pPr>
        <w:numPr>
          <w:ilvl w:val="1"/>
          <w:numId w:val="1007"/>
        </w:numPr>
        <w:pStyle w:val="Compact"/>
      </w:pPr>
      <w:hyperlink w:anchor="migracion.2a.a3.-datos-modelo-físico-">
        <w:r>
          <w:rPr>
            <w:rStyle w:val="Hyperlink"/>
          </w:rPr>
          <w:t xml:space="preserve">Migracion.2a.a3. Datos Modelo Físico</w:t>
        </w:r>
      </w:hyperlink>
    </w:p>
    <w:p>
      <w:pPr>
        <w:numPr>
          <w:ilvl w:val="0"/>
          <w:numId w:val="1005"/>
        </w:numPr>
        <w:pStyle w:val="Compact"/>
      </w:pPr>
      <w:hyperlink w:anchor="diagrama-modelo-de-datos-lógico">
        <w:r>
          <w:rPr>
            <w:rStyle w:val="Hyperlink"/>
          </w:rPr>
          <w:t xml:space="preserve">Diagrama Modelo de Datos Lógico</w:t>
        </w:r>
      </w:hyperlink>
    </w:p>
    <w:p>
      <w:pPr>
        <w:numPr>
          <w:ilvl w:val="1"/>
          <w:numId w:val="1008"/>
        </w:numPr>
        <w:pStyle w:val="Compact"/>
      </w:pPr>
      <w:hyperlink w:anchor="migracion.2c.-datos-hominis">
        <w:r>
          <w:rPr>
            <w:rStyle w:val="Hyperlink"/>
          </w:rPr>
          <w:t xml:space="preserve">Migracion.2c. Datos Hominis</w:t>
        </w:r>
      </w:hyperlink>
    </w:p>
    <w:p>
      <w:pPr>
        <w:numPr>
          <w:ilvl w:val="1"/>
          <w:numId w:val="1008"/>
        </w:numPr>
        <w:pStyle w:val="Compact"/>
      </w:pPr>
      <w:hyperlink w:anchor="migracion.2c3.-datos-control-interno">
        <w:r>
          <w:rPr>
            <w:rStyle w:val="Hyperlink"/>
          </w:rPr>
          <w:t xml:space="preserve">Migracion.2c3. Datos Control Interno</w:t>
        </w:r>
      </w:hyperlink>
    </w:p>
    <w:p>
      <w:pPr>
        <w:numPr>
          <w:ilvl w:val="1"/>
          <w:numId w:val="1008"/>
        </w:numPr>
        <w:pStyle w:val="Compact"/>
      </w:pPr>
      <w:hyperlink w:anchor="migracion.2c2.-datos-siri">
        <w:r>
          <w:rPr>
            <w:rStyle w:val="Hyperlink"/>
          </w:rPr>
          <w:t xml:space="preserve">Migracion.2c2. Datos SIRI</w:t>
        </w:r>
      </w:hyperlink>
    </w:p>
    <w:p>
      <w:pPr>
        <w:numPr>
          <w:ilvl w:val="1"/>
          <w:numId w:val="1008"/>
        </w:numPr>
        <w:pStyle w:val="Compact"/>
      </w:pPr>
      <w:hyperlink w:anchor="migracion.2c1.-datos-sim">
        <w:r>
          <w:rPr>
            <w:rStyle w:val="Hyperlink"/>
          </w:rPr>
          <w:t xml:space="preserve">Migracion.2c1. Datos SIM</w:t>
        </w:r>
      </w:hyperlink>
    </w:p>
    <w:p>
      <w:pPr>
        <w:numPr>
          <w:ilvl w:val="0"/>
          <w:numId w:val="1005"/>
        </w:numPr>
        <w:pStyle w:val="Compact"/>
      </w:pPr>
      <w:hyperlink w:anchor="documento-diccionarios-de-datos">
        <w:r>
          <w:rPr>
            <w:rStyle w:val="Hyperlink"/>
          </w:rPr>
          <w:t xml:space="preserve">Documento Diccionarios de Datos</w:t>
        </w:r>
      </w:hyperlink>
    </w:p>
    <w:p>
      <w:pPr>
        <w:numPr>
          <w:ilvl w:val="0"/>
          <w:numId w:val="1005"/>
        </w:numPr>
        <w:pStyle w:val="Compact"/>
      </w:pPr>
      <w:hyperlink w:anchor="X9d1484b8b9d2e2c5b7524055084c2e8aec2e374">
        <w:r>
          <w:rPr>
            <w:rStyle w:val="Hyperlink"/>
          </w:rPr>
          <w:t xml:space="preserve">Mapa de Información (flujos de información)</w:t>
        </w:r>
      </w:hyperlink>
    </w:p>
    <w:p>
      <w:pPr>
        <w:numPr>
          <w:ilvl w:val="1"/>
          <w:numId w:val="1009"/>
        </w:numPr>
        <w:pStyle w:val="Compact"/>
      </w:pPr>
      <w:hyperlink w:anchor="migracion.2.-datos">
        <w:r>
          <w:rPr>
            <w:rStyle w:val="Hyperlink"/>
          </w:rPr>
          <w:t xml:space="preserve">Migracion.2. datos</w:t>
        </w:r>
      </w:hyperlink>
    </w:p>
    <w:p>
      <w:pPr>
        <w:numPr>
          <w:ilvl w:val="0"/>
          <w:numId w:val="1005"/>
        </w:numPr>
        <w:pStyle w:val="Compact"/>
      </w:pPr>
      <w:hyperlink w:anchor="modelo-ontológico">
        <w:r>
          <w:rPr>
            <w:rStyle w:val="Hyperlink"/>
          </w:rPr>
          <w:t xml:space="preserve">Modelo Ontológico</w:t>
        </w:r>
      </w:hyperlink>
    </w:p>
    <w:p>
      <w:r>
        <w:br w:type="page"/>
      </w:r>
    </w:p>
    <w:bookmarkEnd w:id="40"/>
    <w:bookmarkStart w:id="47" w:name="diagrama-modelo-de-datos-conceptual"/>
    <w:p>
      <w:pPr>
        <w:pStyle w:val="Heading1"/>
      </w:pPr>
      <w:r>
        <w:t xml:space="preserve">Diagrama Modelo de Datos Conceptual</w:t>
      </w:r>
    </w:p>
    <w:bookmarkStart w:id="46" w:name="migracion.2a.a1.datos-lógico"/>
    <w:p>
      <w:pPr>
        <w:pStyle w:val="Heading2"/>
      </w:pPr>
      <w:r>
        <w:t xml:space="preserve">Migracion.2a.a1.Datos Lógico</w:t>
      </w:r>
    </w:p>
    <w:bookmarkStart w:id="0" w:name="fig:Migracion.2a.a1.DatosLógico"/>
    <w:p>
      <w:pPr>
        <w:pStyle w:val="CaptionedFigure"/>
      </w:pPr>
      <w:bookmarkStart w:id="44" w:name="fig:Migracion.2a.a1.DatosLógico"/>
      <w:r>
        <w:drawing>
          <wp:inline>
            <wp:extent cx="4864608" cy="3570274"/>
            <wp:effectExtent b="0" l="0" r="0" t="0"/>
            <wp:docPr descr="Imagen 1: Diagram: Migracion.2a.a1.Datos Lógico" title="" id="42" name="Picture"/>
            <a:graphic>
              <a:graphicData uri="http://schemas.openxmlformats.org/drawingml/2006/picture">
                <pic:pic>
                  <pic:nvPicPr>
                    <pic:cNvPr descr="images/Migracion.2a.a1.DatosLógico.png" id="43" name="Picture"/>
                    <pic:cNvPicPr>
                      <a:picLocks noChangeArrowheads="1" noChangeAspect="1"/>
                    </pic:cNvPicPr>
                  </pic:nvPicPr>
                  <pic:blipFill>
                    <a:blip r:embed="rId41"/>
                    <a:stretch>
                      <a:fillRect/>
                    </a:stretch>
                  </pic:blipFill>
                  <pic:spPr bwMode="auto">
                    <a:xfrm>
                      <a:off x="0" y="0"/>
                      <a:ext cx="4864608" cy="3570274"/>
                    </a:xfrm>
                    <a:prstGeom prst="rect">
                      <a:avLst/>
                    </a:prstGeom>
                    <a:noFill/>
                    <a:ln w="9525">
                      <a:noFill/>
                      <a:headEnd/>
                      <a:tailEnd/>
                    </a:ln>
                  </pic:spPr>
                </pic:pic>
              </a:graphicData>
            </a:graphic>
          </wp:inline>
        </w:drawing>
      </w:r>
      <w:bookmarkEnd w:id="44"/>
    </w:p>
    <w:p>
      <w:pPr>
        <w:pStyle w:val="ImageCaption"/>
      </w:pPr>
      <w:r>
        <w:t xml:space="preserve">Imagen 1: Diagram: Migracion.2a.a1.Datos Lógico</w:t>
      </w:r>
    </w:p>
    <w:bookmarkEnd w:id="0"/>
    <w:p>
      <w:pPr>
        <w:pStyle w:val="BodyText"/>
      </w:pPr>
      <w:r>
        <w:t xml:space="preserve">Organización de los grupos de datos (dominios) del SUI Migrado, 2023.</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 Control Interno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Estratego</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SIAF</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SIM</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SIRI</w:t>
            </w:r>
          </w:p>
        </w:tc>
        <w:tc>
          <w:tcPr/>
          <w:p>
            <w:pPr>
              <w:pStyle w:val="Compact"/>
              <w:jc w:val="left"/>
            </w:pPr>
            <w:r>
              <w:t xml:space="preserve">business-object</w:t>
            </w:r>
          </w:p>
        </w:tc>
        <w:tc>
          <w:tcPr/>
          <w:p>
            <w:pPr>
              <w:pStyle w:val="Compact"/>
            </w:pPr>
          </w:p>
        </w:tc>
        <w:tc>
          <w:tcPr/>
          <w:p>
            <w:pPr>
              <w:pStyle w:val="Compact"/>
            </w:pPr>
          </w:p>
        </w:tc>
      </w:tr>
    </w:tbl>
    <w:p>
      <w:r>
        <w:br w:type="page"/>
      </w:r>
    </w:p>
    <w:bookmarkEnd w:id="45"/>
    <w:bookmarkEnd w:id="46"/>
    <w:bookmarkEnd w:id="47"/>
    <w:bookmarkStart w:id="54" w:name="Xe71045aac466766839e79615b3fbfc6bf181240"/>
    <w:p>
      <w:pPr>
        <w:pStyle w:val="Heading1"/>
      </w:pPr>
      <w:r>
        <w:t xml:space="preserve">Diagrama Modelo de Datos Físico (diagramas entidad-relación)</w:t>
      </w:r>
    </w:p>
    <w:bookmarkStart w:id="53" w:name="migracion.2a.a3.-datos-modelo-físico"/>
    <w:p>
      <w:pPr>
        <w:pStyle w:val="Heading2"/>
      </w:pPr>
      <w:r>
        <w:t xml:space="preserve">Migracion.2a.a3. Datos Modelo Físico</w:t>
      </w:r>
    </w:p>
    <w:bookmarkStart w:id="0" w:name="fig:Migracion.2a.a3.DatosModeloFísico"/>
    <w:p>
      <w:pPr>
        <w:pStyle w:val="CaptionedFigure"/>
      </w:pPr>
      <w:bookmarkStart w:id="51" w:name="fig:Migracion.2a.a3.DatosModeloFísico"/>
      <w:r>
        <w:drawing>
          <wp:inline>
            <wp:extent cx="5943600" cy="3652091"/>
            <wp:effectExtent b="0" l="0" r="0" t="0"/>
            <wp:docPr descr="Imagen 2: Diagram: Migracion.2a.a3. Datos Modelo Físico" title="" id="49" name="Picture"/>
            <a:graphic>
              <a:graphicData uri="http://schemas.openxmlformats.org/drawingml/2006/picture">
                <pic:pic>
                  <pic:nvPicPr>
                    <pic:cNvPr descr="images/Migracion.2a.a3.DatosModeloFísico.png" id="50" name="Picture"/>
                    <pic:cNvPicPr>
                      <a:picLocks noChangeArrowheads="1" noChangeAspect="1"/>
                    </pic:cNvPicPr>
                  </pic:nvPicPr>
                  <pic:blipFill>
                    <a:blip r:embed="rId48"/>
                    <a:stretch>
                      <a:fillRect/>
                    </a:stretch>
                  </pic:blipFill>
                  <pic:spPr bwMode="auto">
                    <a:xfrm>
                      <a:off x="0" y="0"/>
                      <a:ext cx="5943600" cy="3652091"/>
                    </a:xfrm>
                    <a:prstGeom prst="rect">
                      <a:avLst/>
                    </a:prstGeom>
                    <a:noFill/>
                    <a:ln w="9525">
                      <a:noFill/>
                      <a:headEnd/>
                      <a:tailEnd/>
                    </a:ln>
                  </pic:spPr>
                </pic:pic>
              </a:graphicData>
            </a:graphic>
          </wp:inline>
        </w:drawing>
      </w:r>
      <w:bookmarkEnd w:id="51"/>
    </w:p>
    <w:p>
      <w:pPr>
        <w:pStyle w:val="ImageCaption"/>
      </w:pPr>
      <w:r>
        <w:t xml:space="preserve">Imagen 2: Diagram: Migracion.2a.a3. Datos Modelo Físico</w:t>
      </w:r>
    </w:p>
    <w:bookmarkEnd w:id="0"/>
    <w:p>
      <w:pPr>
        <w:pStyle w:val="BodyText"/>
      </w:pPr>
      <w:r>
        <w:t xml:space="preserve">En contrucción.</w:t>
      </w:r>
    </w:p>
    <w:bookmarkStart w:id="52" w:name="catálogo-de-elementos-1"/>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r>
        <w:br w:type="page"/>
      </w:r>
    </w:p>
    <w:bookmarkEnd w:id="52"/>
    <w:bookmarkEnd w:id="53"/>
    <w:bookmarkEnd w:id="54"/>
    <w:bookmarkStart w:id="79" w:name="diagrama-modelo-de-datos-lógico"/>
    <w:p>
      <w:pPr>
        <w:pStyle w:val="Heading1"/>
      </w:pPr>
      <w:r>
        <w:t xml:space="preserve">Diagrama Modelo de Datos Lógico</w:t>
      </w:r>
    </w:p>
    <w:bookmarkStart w:id="60" w:name="migracion.2c.-datos-hominis"/>
    <w:p>
      <w:pPr>
        <w:pStyle w:val="Heading2"/>
      </w:pPr>
      <w:r>
        <w:t xml:space="preserve">Migracion.2c. Datos Hominis</w:t>
      </w:r>
    </w:p>
    <w:bookmarkStart w:id="0" w:name="fig:Migracion.2c.DatosHominis"/>
    <w:p>
      <w:pPr>
        <w:pStyle w:val="CaptionedFigure"/>
      </w:pPr>
      <w:bookmarkStart w:id="58" w:name="fig:Migracion.2c.DatosHominis"/>
      <w:r>
        <w:drawing>
          <wp:inline>
            <wp:extent cx="4864608" cy="4457932"/>
            <wp:effectExtent b="0" l="0" r="0" t="0"/>
            <wp:docPr descr="Imagen 3: Diagram: Migracion.2c. Datos Hominis" title="" id="56" name="Picture"/>
            <a:graphic>
              <a:graphicData uri="http://schemas.openxmlformats.org/drawingml/2006/picture">
                <pic:pic>
                  <pic:nvPicPr>
                    <pic:cNvPr descr="images/Migracion.2c.DatosHominis.png" id="57" name="Picture"/>
                    <pic:cNvPicPr>
                      <a:picLocks noChangeArrowheads="1" noChangeAspect="1"/>
                    </pic:cNvPicPr>
                  </pic:nvPicPr>
                  <pic:blipFill>
                    <a:blip r:embed="rId55"/>
                    <a:stretch>
                      <a:fillRect/>
                    </a:stretch>
                  </pic:blipFill>
                  <pic:spPr bwMode="auto">
                    <a:xfrm>
                      <a:off x="0" y="0"/>
                      <a:ext cx="4864608" cy="4457932"/>
                    </a:xfrm>
                    <a:prstGeom prst="rect">
                      <a:avLst/>
                    </a:prstGeom>
                    <a:noFill/>
                    <a:ln w="9525">
                      <a:noFill/>
                      <a:headEnd/>
                      <a:tailEnd/>
                    </a:ln>
                  </pic:spPr>
                </pic:pic>
              </a:graphicData>
            </a:graphic>
          </wp:inline>
        </w:drawing>
      </w:r>
      <w:bookmarkEnd w:id="58"/>
    </w:p>
    <w:p>
      <w:pPr>
        <w:pStyle w:val="ImageCaption"/>
      </w:pPr>
      <w:r>
        <w:t xml:space="preserve">Imagen 3: Diagram: Migracion.2c.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9"/>
    <w:bookmarkEnd w:id="60"/>
    <w:bookmarkStart w:id="66" w:name="migracion.2c3.-datos-control-interno"/>
    <w:p>
      <w:pPr>
        <w:pStyle w:val="Heading2"/>
      </w:pPr>
      <w:r>
        <w:t xml:space="preserve">Migracion.2c3. Datos Control Interno</w:t>
      </w:r>
    </w:p>
    <w:bookmarkStart w:id="0" w:name="fig:Migracion.2c3.DatosControlInterno"/>
    <w:p>
      <w:pPr>
        <w:pStyle w:val="CaptionedFigure"/>
      </w:pPr>
      <w:bookmarkStart w:id="64" w:name="fig:Migracion.2c3.DatosControlInterno"/>
      <w:r>
        <w:drawing>
          <wp:inline>
            <wp:extent cx="5943600" cy="4699868"/>
            <wp:effectExtent b="0" l="0" r="0" t="0"/>
            <wp:docPr descr="Imagen 4: Diagram: Migracion.2c3. Datos Control Interno" title="" id="62" name="Picture"/>
            <a:graphic>
              <a:graphicData uri="http://schemas.openxmlformats.org/drawingml/2006/picture">
                <pic:pic>
                  <pic:nvPicPr>
                    <pic:cNvPr descr="images/Migracion.2c3.DatosControlInterno.png" id="63" name="Picture"/>
                    <pic:cNvPicPr>
                      <a:picLocks noChangeArrowheads="1" noChangeAspect="1"/>
                    </pic:cNvPicPr>
                  </pic:nvPicPr>
                  <pic:blipFill>
                    <a:blip r:embed="rId61"/>
                    <a:stretch>
                      <a:fillRect/>
                    </a:stretch>
                  </pic:blipFill>
                  <pic:spPr bwMode="auto">
                    <a:xfrm>
                      <a:off x="0" y="0"/>
                      <a:ext cx="5943600" cy="4699868"/>
                    </a:xfrm>
                    <a:prstGeom prst="rect">
                      <a:avLst/>
                    </a:prstGeom>
                    <a:noFill/>
                    <a:ln w="9525">
                      <a:noFill/>
                      <a:headEnd/>
                      <a:tailEnd/>
                    </a:ln>
                  </pic:spPr>
                </pic:pic>
              </a:graphicData>
            </a:graphic>
          </wp:inline>
        </w:drawing>
      </w:r>
      <w:bookmarkEnd w:id="64"/>
    </w:p>
    <w:p>
      <w:pPr>
        <w:pStyle w:val="ImageCaption"/>
      </w:pPr>
      <w:r>
        <w:t xml:space="preserve">Imagen 4: Diagram: Migracion.2c3.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5"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5"/>
    <w:bookmarkEnd w:id="66"/>
    <w:bookmarkStart w:id="72" w:name="migracion.2c2.-datos-siri"/>
    <w:p>
      <w:pPr>
        <w:pStyle w:val="Heading2"/>
      </w:pPr>
      <w:r>
        <w:t xml:space="preserve">Migracion.2c2. Datos SIRI</w:t>
      </w:r>
    </w:p>
    <w:bookmarkStart w:id="0" w:name="fig:Migracion.2c2.DatosSIRI"/>
    <w:p>
      <w:pPr>
        <w:pStyle w:val="CaptionedFigure"/>
      </w:pPr>
      <w:bookmarkStart w:id="70" w:name="fig:Migracion.2c2.DatosSIRI"/>
      <w:r>
        <w:drawing>
          <wp:inline>
            <wp:extent cx="5943600" cy="3207877"/>
            <wp:effectExtent b="0" l="0" r="0" t="0"/>
            <wp:docPr descr="Imagen 5: Diagram: Migracion.2c2. Datos SIRI" title="" id="68" name="Picture"/>
            <a:graphic>
              <a:graphicData uri="http://schemas.openxmlformats.org/drawingml/2006/picture">
                <pic:pic>
                  <pic:nvPicPr>
                    <pic:cNvPr descr="images/Migracion.2c2.DatosSIRI.png" id="69" name="Picture"/>
                    <pic:cNvPicPr>
                      <a:picLocks noChangeArrowheads="1" noChangeAspect="1"/>
                    </pic:cNvPicPr>
                  </pic:nvPicPr>
                  <pic:blipFill>
                    <a:blip r:embed="rId67"/>
                    <a:stretch>
                      <a:fillRect/>
                    </a:stretch>
                  </pic:blipFill>
                  <pic:spPr bwMode="auto">
                    <a:xfrm>
                      <a:off x="0" y="0"/>
                      <a:ext cx="5943600" cy="3207877"/>
                    </a:xfrm>
                    <a:prstGeom prst="rect">
                      <a:avLst/>
                    </a:prstGeom>
                    <a:noFill/>
                    <a:ln w="9525">
                      <a:noFill/>
                      <a:headEnd/>
                      <a:tailEnd/>
                    </a:ln>
                  </pic:spPr>
                </pic:pic>
              </a:graphicData>
            </a:graphic>
          </wp:inline>
        </w:drawing>
      </w:r>
      <w:bookmarkEnd w:id="70"/>
    </w:p>
    <w:p>
      <w:pPr>
        <w:pStyle w:val="ImageCaption"/>
      </w:pPr>
      <w:r>
        <w:t xml:space="preserve">Imagen 5: Diagram: Migracion.2c2.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1"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71"/>
    <w:bookmarkEnd w:id="72"/>
    <w:bookmarkStart w:id="78" w:name="migracion.2c1.-datos-sim"/>
    <w:p>
      <w:pPr>
        <w:pStyle w:val="Heading2"/>
      </w:pPr>
      <w:r>
        <w:t xml:space="preserve">Migracion.2c1. Datos SIM</w:t>
      </w:r>
    </w:p>
    <w:bookmarkStart w:id="0" w:name="fig:Migracion.2c1.DatosSIM"/>
    <w:p>
      <w:pPr>
        <w:pStyle w:val="CaptionedFigure"/>
      </w:pPr>
      <w:bookmarkStart w:id="76" w:name="fig:Migracion.2c1.DatosSIM"/>
      <w:r>
        <w:drawing>
          <wp:inline>
            <wp:extent cx="5943600" cy="5038362"/>
            <wp:effectExtent b="0" l="0" r="0" t="0"/>
            <wp:docPr descr="Imagen 6: Diagram: Migracion.2c1. Datos SIM" title="" id="74" name="Picture"/>
            <a:graphic>
              <a:graphicData uri="http://schemas.openxmlformats.org/drawingml/2006/picture">
                <pic:pic>
                  <pic:nvPicPr>
                    <pic:cNvPr descr="images/Migracion.2c1.DatosSIM.png" id="75" name="Picture"/>
                    <pic:cNvPicPr>
                      <a:picLocks noChangeArrowheads="1" noChangeAspect="1"/>
                    </pic:cNvPicPr>
                  </pic:nvPicPr>
                  <pic:blipFill>
                    <a:blip r:embed="rId73"/>
                    <a:stretch>
                      <a:fillRect/>
                    </a:stretch>
                  </pic:blipFill>
                  <pic:spPr bwMode="auto">
                    <a:xfrm>
                      <a:off x="0" y="0"/>
                      <a:ext cx="5943600" cy="5038362"/>
                    </a:xfrm>
                    <a:prstGeom prst="rect">
                      <a:avLst/>
                    </a:prstGeom>
                    <a:noFill/>
                    <a:ln w="9525">
                      <a:noFill/>
                      <a:headEnd/>
                      <a:tailEnd/>
                    </a:ln>
                  </pic:spPr>
                </pic:pic>
              </a:graphicData>
            </a:graphic>
          </wp:inline>
        </w:drawing>
      </w:r>
      <w:bookmarkEnd w:id="76"/>
    </w:p>
    <w:p>
      <w:pPr>
        <w:pStyle w:val="ImageCaption"/>
      </w:pPr>
      <w:r>
        <w:t xml:space="preserve">Imagen 6: Diagram: Migracion.2c1.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7" w:name="catálogo-de-elementos-5"/>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r>
        <w:br w:type="page"/>
      </w:r>
    </w:p>
    <w:bookmarkEnd w:id="77"/>
    <w:bookmarkEnd w:id="78"/>
    <w:bookmarkEnd w:id="79"/>
    <w:bookmarkStart w:id="80" w:name="documento-diccionarios-de-datos"/>
    <w:p>
      <w:pPr>
        <w:pStyle w:val="Heading1"/>
      </w:pPr>
      <w:r>
        <w:t xml:space="preserve">Documento Diccionarios de Datos</w:t>
      </w:r>
    </w:p>
    <w:p>
      <w:r>
        <w:br w:type="page"/>
      </w:r>
    </w:p>
    <w:bookmarkEnd w:id="80"/>
    <w:bookmarkStart w:id="87" w:name="X9d1484b8b9d2e2c5b7524055084c2e8aec2e374"/>
    <w:p>
      <w:pPr>
        <w:pStyle w:val="Heading1"/>
      </w:pPr>
      <w:r>
        <w:t xml:space="preserve">Mapa de Información (flujos de información)</w:t>
      </w:r>
    </w:p>
    <w:bookmarkStart w:id="86" w:name="migracion.2.-datos"/>
    <w:p>
      <w:pPr>
        <w:pStyle w:val="Heading2"/>
      </w:pPr>
      <w:r>
        <w:t xml:space="preserve">Migracion.2. datos</w:t>
      </w:r>
    </w:p>
    <w:bookmarkStart w:id="0" w:name="fig:Migracion.2.datos"/>
    <w:p>
      <w:pPr>
        <w:pStyle w:val="CaptionedFigure"/>
      </w:pPr>
      <w:bookmarkStart w:id="84" w:name="fig:Migracion.2.datos"/>
      <w:r>
        <w:drawing>
          <wp:inline>
            <wp:extent cx="4864608" cy="5967831"/>
            <wp:effectExtent b="0" l="0" r="0" t="0"/>
            <wp:docPr descr="Imagen 7: Diagram: Migracion.2. datos" title="" id="82" name="Picture"/>
            <a:graphic>
              <a:graphicData uri="http://schemas.openxmlformats.org/drawingml/2006/picture">
                <pic:pic>
                  <pic:nvPicPr>
                    <pic:cNvPr descr="images/Migracion.2.datos.png" id="83" name="Picture"/>
                    <pic:cNvPicPr>
                      <a:picLocks noChangeArrowheads="1" noChangeAspect="1"/>
                    </pic:cNvPicPr>
                  </pic:nvPicPr>
                  <pic:blipFill>
                    <a:blip r:embed="rId81"/>
                    <a:stretch>
                      <a:fillRect/>
                    </a:stretch>
                  </pic:blipFill>
                  <pic:spPr bwMode="auto">
                    <a:xfrm>
                      <a:off x="0" y="0"/>
                      <a:ext cx="4864608" cy="5967831"/>
                    </a:xfrm>
                    <a:prstGeom prst="rect">
                      <a:avLst/>
                    </a:prstGeom>
                    <a:noFill/>
                    <a:ln w="9525">
                      <a:noFill/>
                      <a:headEnd/>
                      <a:tailEnd/>
                    </a:ln>
                  </pic:spPr>
                </pic:pic>
              </a:graphicData>
            </a:graphic>
          </wp:inline>
        </w:drawing>
      </w:r>
      <w:bookmarkEnd w:id="84"/>
    </w:p>
    <w:p>
      <w:pPr>
        <w:pStyle w:val="ImageCaption"/>
      </w:pPr>
      <w:r>
        <w:t xml:space="preserve">Imagen 7: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85"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p>
      <w:r>
        <w:br w:type="page"/>
      </w:r>
    </w:p>
    <w:bookmarkEnd w:id="85"/>
    <w:bookmarkEnd w:id="86"/>
    <w:bookmarkEnd w:id="87"/>
    <w:bookmarkStart w:id="90" w:name="modelo-ontológico"/>
    <w:p>
      <w:pPr>
        <w:pStyle w:val="Heading1"/>
      </w:pPr>
      <w:r>
        <w:t xml:space="preserve">Modelo Ontológico</w:t>
      </w:r>
    </w:p>
    <w:p>
      <w:pPr>
        <w:pStyle w:val="FirstParagraph"/>
      </w:pPr>
      <w:r>
        <w:rPr>
          <w:rStyle w:val="VerbatimChar"/>
        </w:rPr>
        <w:t xml:space="preserve">Generated on: Thu Oct 19 2023 09:19:10 GMT-0500 (COT)</w:t>
      </w:r>
    </w:p>
    <w:bookmarkStart w:id="88"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End w:id="90"/>
    <w:bookmarkStart w:id="96" w:name="referencias"/>
    <w:p>
      <w:pPr>
        <w:pStyle w:val="Heading1"/>
      </w:pPr>
      <w:r>
        <w:t xml:space="preserve">Referencias</w:t>
      </w:r>
    </w:p>
    <w:bookmarkStart w:id="9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2"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1">
        <w:r>
          <w:rPr>
            <w:rStyle w:val="Hyperlink"/>
          </w:rPr>
          <w:t xml:space="preserve">https://hwong23.github.io/fna-devdoc-f1/v/6497aef0f15c3591f0728e4c42cb2c26c13b43aa/</w:t>
        </w:r>
      </w:hyperlink>
    </w:p>
    <w:bookmarkEnd w:id="92"/>
    <w:bookmarkStart w:id="9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1">
        <w:r>
          <w:rPr>
            <w:rStyle w:val="Hyperlink"/>
          </w:rPr>
          <w:t xml:space="preserve">https://hwong23.github.io/fna-devdoc-f1/v/6497aef0f15c3591f0728e4c42cb2c26c13b43aa/</w:t>
        </w:r>
      </w:hyperlink>
    </w:p>
    <w:bookmarkEnd w:id="93"/>
    <w:bookmarkStart w:id="94"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1">
        <w:r>
          <w:rPr>
            <w:rStyle w:val="Hyperlink"/>
          </w:rPr>
          <w:t xml:space="preserve">https://hwong23.github.io/fna-devdoc-f1/v/6497aef0f15c3591f0728e4c42cb2c26c13b43aa/</w:t>
        </w:r>
      </w:hyperlink>
    </w:p>
    <w:bookmarkEnd w:id="94"/>
    <w:bookmarkEnd w:id="95"/>
    <w:bookmarkEnd w:id="9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1" Target="media/rId81.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90a2e36a68db2765c2082a425a332c90683155a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90a2e36a68db2765c2082a425a332c90683155aa/"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2023-10-22T19:26:23Z</dcterms:created>
  <dcterms:modified xsi:type="dcterms:W3CDTF">2023-10-22T19:26:23Z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