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21.png" ContentType="image/png"/>
  <Override PartName="/word/media/rId59.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diagrama-de-infraestructura-de-ti">
        <w:r>
          <w:rPr>
            <w:rStyle w:val="Hyperlink"/>
          </w:rPr>
          <w:t xml:space="preserve">Diagrama de Infraestructura de TI</w:t>
        </w:r>
      </w:hyperlink>
    </w:p>
    <w:p>
      <w:pPr>
        <w:numPr>
          <w:ilvl w:val="1"/>
          <w:numId w:val="1002"/>
        </w:numPr>
        <w:pStyle w:val="Compact"/>
      </w:pPr>
      <w:hyperlink w:anchor="migracion.3.-infraestructura">
        <w:r>
          <w:rPr>
            <w:rStyle w:val="Hyperlink"/>
          </w:rPr>
          <w:t xml:space="preserve">Migracion.3. Infraestructura</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licación.-física">
        <w:r>
          <w:rPr>
            <w:rStyle w:val="Hyperlink"/>
          </w:rPr>
          <w:t xml:space="preserve">Lineabase.0.SIU Aplicación. Física</w:t>
        </w:r>
      </w:hyperlink>
    </w:p>
    <w:p>
      <w:pPr>
        <w:numPr>
          <w:ilvl w:val="1"/>
          <w:numId w:val="1002"/>
        </w:numPr>
        <w:pStyle w:val="Compact"/>
      </w:pPr>
      <w:hyperlink w:anchor="seguridad.2.-lineabase.0.siu-aplicación">
        <w:r>
          <w:rPr>
            <w:rStyle w:val="Hyperlink"/>
          </w:rPr>
          <w:t xml:space="preserve">Seguridad.2. Lineabase.0.SIU Aplicación</w:t>
        </w:r>
      </w:hyperlink>
    </w:p>
    <w:p>
      <w:pPr>
        <w:numPr>
          <w:ilvl w:val="1"/>
          <w:numId w:val="1002"/>
        </w:numPr>
        <w:pStyle w:val="Compact"/>
      </w:pPr>
      <w:hyperlink w:anchor="migracion.6.-migración-de-datos">
        <w:r>
          <w:rPr>
            <w:rStyle w:val="Hyperlink"/>
          </w:rPr>
          <w:t xml:space="preserve">Migracion.6. Migración de datos</w:t>
        </w:r>
      </w:hyperlink>
    </w:p>
    <w:p>
      <w:pPr>
        <w:numPr>
          <w:ilvl w:val="0"/>
          <w:numId w:val="1001"/>
        </w:numPr>
        <w:pStyle w:val="Compact"/>
      </w:pPr>
      <w:hyperlink w:anchor="X51db734b0c6c45519e8763ed857e3b1bb3c993c">
        <w:r>
          <w:rPr>
            <w:rStyle w:val="Hyperlink"/>
          </w:rPr>
          <w:t xml:space="preserve">Documento sobre especificaciones técnicas de infraestructura TI</w:t>
        </w:r>
      </w:hyperlink>
    </w:p>
    <w:p>
      <w:pPr>
        <w:numPr>
          <w:ilvl w:val="1"/>
          <w:numId w:val="1003"/>
        </w:numPr>
        <w:pStyle w:val="Compact"/>
      </w:pPr>
      <w:hyperlink w:anchor="lineabase.0.siu-aplicación.-física">
        <w:r>
          <w:rPr>
            <w:rStyle w:val="Hyperlink"/>
          </w:rPr>
          <w:t xml:space="preserve">Lineabase.0.SIU Aplicación. Física</w:t>
        </w:r>
      </w:hyperlink>
    </w:p>
    <w:p>
      <w:r>
        <w:br w:type="page"/>
      </w:r>
    </w:p>
    <w:bookmarkEnd w:id="20"/>
    <w:bookmarkStart w:id="65" w:name="diagrama-de-infraestructura-de-ti"/>
    <w:p>
      <w:pPr>
        <w:pStyle w:val="Heading1"/>
      </w:pPr>
      <w:r>
        <w:t xml:space="preserve">Diagrama de Infraestructura de TI</w:t>
      </w:r>
    </w:p>
    <w:bookmarkStart w:id="27" w:name="migracion.3.-infraestructura"/>
    <w:p>
      <w:pPr>
        <w:pStyle w:val="Heading2"/>
      </w:pPr>
      <w:r>
        <w:t xml:space="preserve">Migracion.3. Infraestructura</w:t>
      </w:r>
    </w:p>
    <w:bookmarkStart w:id="0" w:name="fig:Migracion.3.Infraestructura"/>
    <w:p>
      <w:pPr>
        <w:pStyle w:val="CaptionedFigure"/>
      </w:pPr>
      <w:bookmarkStart w:id="24" w:name="fig:Migracion.3.Infraestructura"/>
      <w:r>
        <w:drawing>
          <wp:inline>
            <wp:extent cx="5943600" cy="4848472"/>
            <wp:effectExtent b="0" l="0" r="0" t="0"/>
            <wp:docPr descr="Figure 1: Vista. Migracion.3. Infraestructura" title="" id="22" name="Picture"/>
            <a:graphic>
              <a:graphicData uri="http://schemas.openxmlformats.org/drawingml/2006/picture">
                <pic:pic>
                  <pic:nvPicPr>
                    <pic:cNvPr descr="images/Migracion.3.Infraestructura.png" id="23" name="Picture"/>
                    <pic:cNvPicPr>
                      <a:picLocks noChangeArrowheads="1" noChangeAspect="1"/>
                    </pic:cNvPicPr>
                  </pic:nvPicPr>
                  <pic:blipFill>
                    <a:blip r:embed="rId21"/>
                    <a:stretch>
                      <a:fillRect/>
                    </a:stretch>
                  </pic:blipFill>
                  <pic:spPr bwMode="auto">
                    <a:xfrm>
                      <a:off x="0" y="0"/>
                      <a:ext cx="5943600" cy="4848472"/>
                    </a:xfrm>
                    <a:prstGeom prst="rect">
                      <a:avLst/>
                    </a:prstGeom>
                    <a:noFill/>
                    <a:ln w="9525">
                      <a:noFill/>
                      <a:headEnd/>
                      <a:tailEnd/>
                    </a:ln>
                  </pic:spPr>
                </pic:pic>
              </a:graphicData>
            </a:graphic>
          </wp:inline>
        </w:drawing>
      </w:r>
      <w:bookmarkEnd w:id="24"/>
    </w:p>
    <w:p>
      <w:pPr>
        <w:pStyle w:val="ImageCaption"/>
      </w:pPr>
      <w:r>
        <w:t xml:space="preserve">Figure 1: Vista. Migracion.3. Infraestructura</w:t>
      </w:r>
    </w:p>
    <w:bookmarkEnd w:id="0"/>
    <w:p>
      <w:pPr>
        <w:pStyle w:val="BodyText"/>
      </w:pPr>
      <w:r>
        <w:t xml:space="preserve">Identificación de los ítems de infraestructura tecnológica, nodos, redes, cómputo, y almacenamiento relacionado con los módulos del SUI Migrado, 2023.</w:t>
      </w:r>
    </w:p>
    <w:bookmarkStart w:id="25" w:name="representación-de-infraestructura"/>
    <w:p>
      <w:pPr>
        <w:pStyle w:val="Heading3"/>
      </w:pPr>
      <w:r>
        <w:t xml:space="preserve">Representación de Infraestructura</w:t>
      </w:r>
    </w:p>
    <w:p>
      <w:pPr>
        <w:numPr>
          <w:ilvl w:val="0"/>
          <w:numId w:val="1004"/>
        </w:numPr>
        <w:pStyle w:val="Compact"/>
      </w:pPr>
      <w:r>
        <w:t xml:space="preserve">Canales</w:t>
      </w:r>
    </w:p>
    <w:p>
      <w:pPr>
        <w:numPr>
          <w:ilvl w:val="0"/>
          <w:numId w:val="1004"/>
        </w:numPr>
        <w:pStyle w:val="Compact"/>
      </w:pPr>
      <w:r>
        <w:t xml:space="preserve">Redes</w:t>
      </w:r>
    </w:p>
    <w:p>
      <w:pPr>
        <w:numPr>
          <w:ilvl w:val="0"/>
          <w:numId w:val="1004"/>
        </w:numPr>
        <w:pStyle w:val="Compact"/>
      </w:pPr>
      <w:r>
        <w:t xml:space="preserve">Grupo de Servidores</w:t>
      </w:r>
    </w:p>
    <w:p>
      <w:pPr>
        <w:numPr>
          <w:ilvl w:val="0"/>
          <w:numId w:val="1004"/>
        </w:numPr>
        <w:pStyle w:val="Compact"/>
      </w:pPr>
      <w:r>
        <w:t xml:space="preserve">Grupo de Servicios</w:t>
      </w:r>
    </w:p>
    <w:p>
      <w:pPr>
        <w:numPr>
          <w:ilvl w:val="0"/>
          <w:numId w:val="1004"/>
        </w:numPr>
        <w:pStyle w:val="Compact"/>
      </w:pPr>
      <w:r>
        <w:t xml:space="preserve">Integración</w:t>
      </w:r>
    </w:p>
    <w:p>
      <w:pPr>
        <w:numPr>
          <w:ilvl w:val="0"/>
          <w:numId w:val="1004"/>
        </w:numPr>
        <w:pStyle w:val="Compact"/>
      </w:pPr>
      <w:r>
        <w:t xml:space="preserve">Seguridad</w:t>
      </w:r>
    </w:p>
    <w:p>
      <w:pPr>
        <w:numPr>
          <w:ilvl w:val="0"/>
          <w:numId w:val="1004"/>
        </w:numPr>
        <w:pStyle w:val="Compact"/>
      </w:pPr>
      <w:r>
        <w:t xml:space="preserve">Almacenamiento</w:t>
      </w:r>
    </w:p>
    <w:p>
      <w:pPr>
        <w:numPr>
          <w:ilvl w:val="0"/>
          <w:numId w:val="1004"/>
        </w:numPr>
        <w:pStyle w:val="Compact"/>
      </w:pPr>
      <w:r>
        <w:t xml:space="preserve">Comunicación / Ruteo</w:t>
      </w:r>
    </w:p>
    <w:p>
      <w:pPr>
        <w:pStyle w:val="FirstParagraph"/>
      </w:pPr>
    </w:p>
    <w:bookmarkEnd w:id="25"/>
    <w:bookmarkStart w:id="26"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APP1.Relatoría</w:t>
            </w:r>
          </w:p>
        </w:tc>
        <w:tc>
          <w:tcPr/>
          <w:p>
            <w:pPr>
              <w:pStyle w:val="Compact"/>
              <w:jc w:val="left"/>
            </w:pPr>
            <w:r>
              <w:t xml:space="preserve">application-component</w:t>
            </w:r>
          </w:p>
        </w:tc>
        <w:tc>
          <w:tcPr/>
          <w:p>
            <w:pPr>
              <w:pStyle w:val="Compact"/>
              <w:jc w:val="left"/>
            </w:pPr>
            <w:r>
              <w:t xml:space="preserve">Módulo del SUI. Relatoría pública. Publicación de información de referencia para funcionarios y personas naturales, cientes de la PGN.</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APP2.SIRI</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SIRI.</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APP3.Control interno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Control Interno.</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APP4.Hominis</w:t>
            </w:r>
          </w:p>
        </w:tc>
        <w:tc>
          <w:tcPr/>
          <w:p>
            <w:pPr>
              <w:pStyle w:val="Compact"/>
              <w:jc w:val="left"/>
            </w:pPr>
            <w:r>
              <w:t xml:space="preserve">application-component</w:t>
            </w:r>
          </w:p>
        </w:tc>
        <w:tc>
          <w:tcPr/>
          <w:p>
            <w:pPr>
              <w:pStyle w:val="Compact"/>
              <w:jc w:val="left"/>
            </w:pPr>
            <w:r>
              <w:t xml:space="preserve">Módulo del SUI. Gestión de capital humano, funcionarios y cargos de representación y libre remoción de la PGN.</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APP5.SIM</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SIM.</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APP6.Estratego</w:t>
            </w:r>
          </w:p>
        </w:tc>
        <w:tc>
          <w:tcPr/>
          <w:p>
            <w:pPr>
              <w:pStyle w:val="Compact"/>
              <w:jc w:val="left"/>
            </w:pPr>
            <w:r>
              <w:t xml:space="preserve">application-component</w:t>
            </w:r>
          </w:p>
        </w:tc>
        <w:tc>
          <w:tcPr/>
          <w:p>
            <w:pPr>
              <w:pStyle w:val="Compact"/>
              <w:jc w:val="left"/>
            </w:pPr>
            <w:r>
              <w:t xml:space="preserve">Módulo central SUI migrado. Módulo independiente y asignado a un dominio particular de la PGN: Estratego.</w:t>
            </w:r>
          </w:p>
        </w:tc>
        <w:tc>
          <w:tcPr/>
          <w:p>
            <w:pPr>
              <w:pStyle w:val="Compact"/>
            </w:pPr>
          </w:p>
        </w:tc>
      </w:tr>
      <w:tr>
        <w:tc>
          <w:tcPr/>
          <w:p>
            <w:pPr>
              <w:pStyle w:val="Compact"/>
              <w:jc w:val="left"/>
            </w:pPr>
            <w:r>
              <w:rPr>
                <w:bCs/>
                <w:b/>
              </w:rPr>
              <w:t xml:space="preserve">App Movíl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ppal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Cola reintento</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Funcionarios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 Personas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Reverse Proxy</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Service Control Plane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Https</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gRPC</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API Consumer</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API Providers</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API Management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Private virtual network Kubernates</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Mobile</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PC/Laptop</w:t>
            </w:r>
          </w:p>
        </w:tc>
        <w:tc>
          <w:tcPr/>
          <w:p>
            <w:pPr>
              <w:pStyle w:val="Compact"/>
              <w:jc w:val="left"/>
            </w:pPr>
            <w:r>
              <w:t xml:space="preserve">device</w:t>
            </w:r>
          </w:p>
        </w:tc>
        <w:tc>
          <w:tcPr/>
          <w:p>
            <w:pPr>
              <w:pStyle w:val="Compact"/>
            </w:pPr>
          </w:p>
        </w:tc>
        <w:tc>
          <w:tcPr/>
          <w:p>
            <w:pPr>
              <w:pStyle w:val="Compact"/>
            </w:pPr>
          </w:p>
        </w:tc>
      </w:tr>
      <w:tr>
        <w:tc>
          <w:tcPr/>
          <w:p>
            <w:pPr>
              <w:pStyle w:val="Compact"/>
              <w:jc w:val="left"/>
            </w:pPr>
            <w:r>
              <w:rPr>
                <w:bCs/>
                <w:b/>
              </w:rPr>
              <w:t xml:space="preserve">Regionales</w:t>
            </w:r>
          </w:p>
        </w:tc>
        <w:tc>
          <w:tcPr/>
          <w:p>
            <w:pPr>
              <w:pStyle w:val="Compact"/>
              <w:jc w:val="left"/>
            </w:pPr>
            <w:r>
              <w:t xml:space="preserve">device</w:t>
            </w:r>
          </w:p>
        </w:tc>
        <w:tc>
          <w:tcPr/>
          <w:p>
            <w:pPr>
              <w:pStyle w:val="Compact"/>
            </w:pPr>
          </w:p>
        </w:tc>
        <w:tc>
          <w:tcPr/>
          <w:p>
            <w:pPr>
              <w:pStyle w:val="Compact"/>
            </w:pPr>
          </w:p>
        </w:tc>
      </w:tr>
      <w:tr>
        <w:tc>
          <w:tcPr/>
          <w:p>
            <w:pPr>
              <w:pStyle w:val="Compact"/>
              <w:jc w:val="left"/>
            </w:pPr>
            <w:r>
              <w:t xml:space="preserve">** Database por módulo - CQRS**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Canales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Comunicación y Ruteo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Control transaccional</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Data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1</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Grupo Service 2</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Management Plane</w:t>
            </w:r>
            <w:r>
              <w:rPr>
                <w:bCs/>
                <w:b/>
              </w:rPr>
              <w:t xml:space="preserve"> </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Managemnet Plane</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Monitoreo y Métricas consumo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SUI - Arquitectura Tecnologías (infraestructura)</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Seguridad / Protección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Dependencias</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SUI Migración. Procuraduría General de la Nación. 2023</w:t>
            </w:r>
          </w:p>
        </w:tc>
        <w:tc>
          <w:tcPr/>
          <w:p>
            <w:pPr>
              <w:pStyle w:val="Compact"/>
              <w:jc w:val="left"/>
            </w:pPr>
            <w:r>
              <w:t xml:space="preserve">location</w:t>
            </w:r>
          </w:p>
        </w:tc>
        <w:tc>
          <w:tcPr/>
          <w:p>
            <w:pPr>
              <w:pStyle w:val="Compact"/>
            </w:pPr>
          </w:p>
        </w:tc>
        <w:tc>
          <w:tcPr/>
          <w:p>
            <w:pPr>
              <w:pStyle w:val="Compact"/>
            </w:pPr>
          </w:p>
        </w:tc>
      </w:tr>
      <w:tr>
        <w:tc>
          <w:tcPr/>
          <w:p>
            <w:pPr>
              <w:pStyle w:val="Compact"/>
              <w:jc w:val="left"/>
            </w:pPr>
            <w:r>
              <w:rPr>
                <w:bCs/>
                <w:b/>
              </w:rPr>
              <w:t xml:space="preserve">Bastion Host Management</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Private Endpoint per microservices</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Vnet Bastion</w:t>
            </w:r>
          </w:p>
        </w:tc>
        <w:tc>
          <w:tcPr/>
          <w:p>
            <w:pPr>
              <w:pStyle w:val="Compact"/>
              <w:jc w:val="left"/>
            </w:pPr>
            <w:r>
              <w:t xml:space="preserve">path</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APP1.Relatoría</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APP2.SIRI</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APP3.Control interno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APP4.Hominis</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APP5.SIM</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APP6.Estratego</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Móvil</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Management Bastion</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Internal load balanced</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Message broker</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Topic</w:t>
            </w:r>
          </w:p>
        </w:tc>
        <w:tc>
          <w:tcPr/>
          <w:p>
            <w:pPr>
              <w:pStyle w:val="Compact"/>
              <w:jc w:val="left"/>
            </w:pPr>
            <w:r>
              <w:t xml:space="preserve">technology-function</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t xml:space="preserve">** Event Hubs**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Gateway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API Management Service</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Active Directory</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Application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Event Grid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Infrastructure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Kay vault</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Network Security Group</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Platform Monitor</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config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SQL instance operational data</w:t>
            </w:r>
            <w:r>
              <w:rPr>
                <w:bCs/>
                <w:b/>
              </w:rPr>
              <w:t xml:space="preserve"> </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Servidores central</w:t>
            </w:r>
          </w:p>
        </w:tc>
        <w:tc>
          <w:tcPr/>
          <w:p>
            <w:pPr>
              <w:pStyle w:val="Compact"/>
              <w:jc w:val="left"/>
            </w:pPr>
            <w:r>
              <w:t xml:space="preserve">technology-service</w:t>
            </w:r>
          </w:p>
        </w:tc>
        <w:tc>
          <w:tcPr/>
          <w:p>
            <w:pPr>
              <w:pStyle w:val="Compact"/>
            </w:pPr>
          </w:p>
        </w:tc>
        <w:tc>
          <w:tcPr/>
          <w:p>
            <w:pPr>
              <w:pStyle w:val="Compact"/>
            </w:pPr>
          </w:p>
        </w:tc>
      </w:tr>
    </w:tbl>
    <w:p>
      <w:pPr>
        <w:pStyle w:val="BodyText"/>
      </w:pPr>
    </w:p>
    <w:bookmarkEnd w:id="26"/>
    <w:bookmarkEnd w:id="27"/>
    <w:bookmarkStart w:id="31" w:name="X72fb0e13deea73ab81b6017cb7efce1fdaee8fb"/>
    <w:p>
      <w:pPr>
        <w:pStyle w:val="Heading2"/>
      </w:pPr>
      <w:r>
        <w:t xml:space="preserve">Lineabase.1a.SIU Componentes. Infraestrcutura</w:t>
      </w:r>
    </w:p>
    <w:bookmarkStart w:id="0" w:name="fig:Lineabase.1a.SIUComponentes.Infraestrcutura"/>
    <w:p>
      <w:pPr>
        <w:pStyle w:val="FirstParagraph"/>
      </w:pPr>
      <w:bookmarkStart w:id="28" w:name="X9f1751b5535eda5074d83d3c7bc0b166e1ea275"/>
      <w:r>
        <w:t xml:space="preserve">Figure 2: Vista. Lineabase.1a.SIU Componentes. Infraestrcutura</w:t>
      </w:r>
      <w:bookmarkEnd w:id="28"/>
    </w:p>
    <w:bookmarkEnd w:id="0"/>
    <w:p>
      <w:pPr>
        <w:pStyle w:val="BodyText"/>
      </w:pPr>
      <w:r>
        <w:t xml:space="preserve">Relación de dependencias de infraestructura con los servicios que integran el modelo de aplicación de SUI Migrado, 2023.</w:t>
      </w:r>
    </w:p>
    <w:bookmarkStart w:id="29" w:name="elementos-de-infraestructura-sui-migrado"/>
    <w:p>
      <w:pPr>
        <w:pStyle w:val="Heading3"/>
      </w:pPr>
      <w:r>
        <w:t xml:space="preserve">Elementos de Infraestructura SUI Migrado</w:t>
      </w:r>
    </w:p>
    <w:p>
      <w:pPr>
        <w:numPr>
          <w:ilvl w:val="0"/>
          <w:numId w:val="1005"/>
        </w:numPr>
        <w:pStyle w:val="Compact"/>
      </w:pPr>
      <w:r>
        <w:t xml:space="preserve">Servidor de Canales (App PGN web y móvil)</w:t>
      </w:r>
    </w:p>
    <w:p>
      <w:pPr>
        <w:numPr>
          <w:ilvl w:val="0"/>
          <w:numId w:val="1005"/>
        </w:numPr>
        <w:pStyle w:val="Compact"/>
      </w:pPr>
      <w:r>
        <w:t xml:space="preserve">Servidor Web App (App SUI)</w:t>
      </w:r>
    </w:p>
    <w:p>
      <w:pPr>
        <w:numPr>
          <w:ilvl w:val="0"/>
          <w:numId w:val="1005"/>
        </w:numPr>
        <w:pStyle w:val="Compact"/>
      </w:pPr>
      <w:r>
        <w:t xml:space="preserve">Servidor Lappiz (Config SUI)</w:t>
      </w:r>
    </w:p>
    <w:p>
      <w:pPr>
        <w:numPr>
          <w:ilvl w:val="0"/>
          <w:numId w:val="1005"/>
        </w:numPr>
        <w:pStyle w:val="Compact"/>
      </w:pPr>
      <w:r>
        <w:t xml:space="preserve">Servidor BDD App (Transaccional)</w:t>
      </w:r>
    </w:p>
    <w:p>
      <w:pPr>
        <w:numPr>
          <w:ilvl w:val="0"/>
          <w:numId w:val="1005"/>
        </w:numPr>
        <w:pStyle w:val="Compact"/>
      </w:pPr>
      <w:r>
        <w:t xml:space="preserve">Servidor BDD Config (Configuración)</w:t>
      </w:r>
    </w:p>
    <w:p>
      <w:pPr>
        <w:pStyle w:val="FirstParagraph"/>
      </w:pPr>
    </w:p>
    <w:bookmarkEnd w:id="29"/>
    <w:bookmarkStart w:id="30"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Esta vista presenta y describe los ítems de arquitectura del SUI Migrado que requieren licenciamiento para operar y cumplir con el objetivo principal de la migración que es la centralización de los conceptos misionales: concentrar los conceptos misionales en componentes aislados.</w:t>
            </w:r>
            <w:r>
              <w:t xml:space="preserve">Los elementos realtados en verde en el diagrama incurren en una renta, bien sea, o por consumo de cómputo en la nube de Microsoft, o por el costo de una licencia de uso. Por ejemplo, en el caso del servidor de reporte del SUI Migrado, es requerida una licencia de uso Power BI Pro, de pago mensual.</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Control de acceso</w:t>
            </w:r>
          </w:p>
        </w:tc>
        <w:tc>
          <w:tcPr/>
          <w:p>
            <w:pPr>
              <w:pStyle w:val="Compact"/>
              <w:jc w:val="left"/>
            </w:pPr>
            <w:r>
              <w:t xml:space="preserve">node</w:t>
            </w:r>
          </w:p>
        </w:tc>
        <w:tc>
          <w:tcPr/>
          <w:p>
            <w:pPr>
              <w:pStyle w:val="Compact"/>
              <w:jc w:val="left"/>
            </w:pPr>
            <w:r>
              <w:t xml:space="preserve">Sistema de autenticación del directorio activo.</w:t>
            </w:r>
          </w:p>
        </w:tc>
        <w:tc>
          <w:tcPr/>
          <w:p>
            <w:pPr>
              <w:pStyle w:val="Compact"/>
            </w:pPr>
          </w:p>
        </w:tc>
      </w:tr>
    </w:tbl>
    <w:p>
      <w:pPr>
        <w:pStyle w:val="BodyText"/>
      </w:pPr>
    </w:p>
    <w:bookmarkEnd w:id="30"/>
    <w:bookmarkEnd w:id="31"/>
    <w:bookmarkStart w:id="36" w:name="lineabase.0.siu-aplicación.-física"/>
    <w:p>
      <w:pPr>
        <w:pStyle w:val="Heading2"/>
      </w:pPr>
      <w:r>
        <w:t xml:space="preserve">Lineabase.0.SIU Aplicación. Física</w:t>
      </w:r>
    </w:p>
    <w:bookmarkStart w:id="0" w:name="fig:Lineabase.0.SIUAplicación.Física"/>
    <w:p>
      <w:pPr>
        <w:pStyle w:val="CaptionedFigure"/>
      </w:pPr>
      <w:bookmarkStart w:id="35" w:name="fig:Lineabase.0.SIUAplicación.Física"/>
      <w:r>
        <w:drawing>
          <wp:inline>
            <wp:extent cx="5943600" cy="3905662"/>
            <wp:effectExtent b="0" l="0" r="0" t="0"/>
            <wp:docPr descr="Figure 3: Vista. Lineabase.0.SIU Aplicación. Física" title="" id="33" name="Picture"/>
            <a:graphic>
              <a:graphicData uri="http://schemas.openxmlformats.org/drawingml/2006/picture">
                <pic:pic>
                  <pic:nvPicPr>
                    <pic:cNvPr descr="images/Lineabase.0.SIUAplicación.Física.png" id="34"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35"/>
    </w:p>
    <w:p>
      <w:pPr>
        <w:pStyle w:val="ImageCaption"/>
      </w:pPr>
      <w:r>
        <w:t xml:space="preserve">Figure 3: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36"/>
    <w:bookmarkStart w:id="38"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6"/>
        </w:numPr>
        <w:pStyle w:val="Compact"/>
      </w:pPr>
      <w:r>
        <w:t xml:space="preserve">Runtime: Es el servicio que interactúa con el usuario final (GUI) elaborado en Angular 11</w:t>
      </w:r>
    </w:p>
    <w:p>
      <w:pPr>
        <w:numPr>
          <w:ilvl w:val="0"/>
          <w:numId w:val="1006"/>
        </w:numPr>
        <w:pStyle w:val="Compact"/>
      </w:pPr>
      <w:r>
        <w:t xml:space="preserve">API Tx: Servicio API REST Base Node encargado de realizar las transacciones básicas CRUD</w:t>
      </w:r>
    </w:p>
    <w:p>
      <w:pPr>
        <w:numPr>
          <w:ilvl w:val="0"/>
          <w:numId w:val="1006"/>
        </w:numPr>
        <w:pStyle w:val="Compact"/>
      </w:pPr>
      <w:r>
        <w:t xml:space="preserve">API Config / Seguridad. Servicio Web API .Net Framework encargado de gestionar características con la autenticación y configuración</w:t>
      </w:r>
    </w:p>
    <w:p>
      <w:pPr>
        <w:pStyle w:val="FirstParagraph"/>
      </w:pPr>
    </w:p>
    <w:bookmarkStart w:id="37"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37"/>
    <w:bookmarkEnd w:id="38"/>
    <w:bookmarkStart w:id="43" w:name="seguridad.2.-lineabase.0.siu-aplicación"/>
    <w:p>
      <w:pPr>
        <w:pStyle w:val="Heading2"/>
      </w:pPr>
      <w:r>
        <w:t xml:space="preserve">Seguridad.2. Lineabase.0.SIU Aplicación</w:t>
      </w:r>
    </w:p>
    <w:bookmarkStart w:id="0" w:name="fig:Seguridad.2.Lineabase.0.SIUAplicación"/>
    <w:p>
      <w:pPr>
        <w:pStyle w:val="CaptionedFigure"/>
      </w:pPr>
      <w:bookmarkStart w:id="42" w:name="X40e0300129c70e50187f2a3ff8beff8f322b561"/>
      <w:r>
        <w:drawing>
          <wp:inline>
            <wp:extent cx="5943600" cy="4279938"/>
            <wp:effectExtent b="0" l="0" r="0" t="0"/>
            <wp:docPr descr="Figure 4: Vista. Seguridad.2. Lineabase.0.SIU Aplicación" title="" id="40" name="Picture"/>
            <a:graphic>
              <a:graphicData uri="http://schemas.openxmlformats.org/drawingml/2006/picture">
                <pic:pic>
                  <pic:nvPicPr>
                    <pic:cNvPr descr="images/Seguridad.2.Lineabase.0.SIUAplicación.png" id="41" name="Picture"/>
                    <pic:cNvPicPr>
                      <a:picLocks noChangeArrowheads="1" noChangeAspect="1"/>
                    </pic:cNvPicPr>
                  </pic:nvPicPr>
                  <pic:blipFill>
                    <a:blip r:embed="rId39"/>
                    <a:stretch>
                      <a:fillRect/>
                    </a:stretch>
                  </pic:blipFill>
                  <pic:spPr bwMode="auto">
                    <a:xfrm>
                      <a:off x="0" y="0"/>
                      <a:ext cx="5943600" cy="4279938"/>
                    </a:xfrm>
                    <a:prstGeom prst="rect">
                      <a:avLst/>
                    </a:prstGeom>
                    <a:noFill/>
                    <a:ln w="9525">
                      <a:noFill/>
                      <a:headEnd/>
                      <a:tailEnd/>
                    </a:ln>
                  </pic:spPr>
                </pic:pic>
              </a:graphicData>
            </a:graphic>
          </wp:inline>
        </w:drawing>
      </w:r>
      <w:bookmarkEnd w:id="42"/>
    </w:p>
    <w:p>
      <w:pPr>
        <w:pStyle w:val="ImageCaption"/>
      </w:pPr>
      <w:r>
        <w:t xml:space="preserve">Figure 4: Vista. Seguridad.2. Lineabase.0.SIU Aplicación</w:t>
      </w:r>
    </w:p>
    <w:bookmarkEnd w:id="0"/>
    <w:bookmarkEnd w:id="43"/>
    <w:bookmarkStart w:id="58" w:name="metodología-seguridad-siu-migrado"/>
    <w:p>
      <w:pPr>
        <w:pStyle w:val="Heading2"/>
      </w:pPr>
      <w:r>
        <w:t xml:space="preserve">Metodología Seguridad SIU Migrado</w:t>
      </w:r>
    </w:p>
    <w:p>
      <w:pPr>
        <w:pStyle w:val="FirstParagraph"/>
      </w:pP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w:t>
      </w:r>
    </w:p>
    <w:p>
      <w:pPr>
        <w:pStyle w:val="BodyText"/>
      </w:pPr>
      <w:r>
        <w:t xml:space="preserve">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p>
    <w:p>
      <w:pPr>
        <w:pStyle w:val="BodyText"/>
      </w:pPr>
      <w:r>
        <w:t xml:space="preserve">Un proceso de autorización basado en roles, identifica tres factores importantes, i) Todos los servidores públicos, contratistas, terceros y otros 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p>
    <w:p>
      <w:pPr>
        <w:pStyle w:val="BodyText"/>
      </w:pP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p>
    <w:bookmarkStart w:id="44" w:name="X0d58178b0faba90fdf32ff427faa0e8730e0dea"/>
    <w:p>
      <w:pPr>
        <w:pStyle w:val="Heading3"/>
      </w:pPr>
      <w:r>
        <w:t xml:space="preserve">Gestión de identidades y Control de acceso</w:t>
      </w:r>
    </w:p>
    <w:p>
      <w:pPr>
        <w:pStyle w:val="FirstParagraph"/>
      </w:pP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p>
    <w:p>
      <w:pPr>
        <w:pStyle w:val="BodyText"/>
      </w:pPr>
      <w:r>
        <w:t xml:space="preserve">Gestor de roles: La asignación de roles es sincronizada con la identidad de usuario en el servidor de dominio. Para esta gestión se crean las reglas y condiciones que determinan si un usuario puede o no pertenecer a un rol definido por la entidad.</w:t>
      </w:r>
    </w:p>
    <w:p>
      <w:pPr>
        <w:pStyle w:val="BodyText"/>
      </w:pPr>
      <w:r>
        <w:t xml:space="preserve">Para el gobierno y gestión de identidades y de acceso, se identificó como primera medida la implementación de la siguiente metodología.</w:t>
      </w:r>
    </w:p>
    <w:bookmarkEnd w:id="44"/>
    <w:bookmarkStart w:id="45" w:name="X96f29f3e1a383bd3ab7738399883bf8f62ef45d"/>
    <w:p>
      <w:pPr>
        <w:pStyle w:val="Heading3"/>
      </w:pPr>
      <w:r>
        <w:t xml:space="preserve">Reglas de Creación de Usuarios e Identifiación de Privilegios</w:t>
      </w:r>
    </w:p>
    <w:p>
      <w:pPr>
        <w:pStyle w:val="FirstParagraph"/>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p>
    <w:p>
      <w:pPr>
        <w:pStyle w:val="BodyText"/>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45"/>
    <w:bookmarkStart w:id="46" w:name="aprovisionamiento-de-cuentas"/>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46"/>
    <w:bookmarkStart w:id="47" w:name="mecanismos-de-control-de-acceso"/>
    <w:p>
      <w:pPr>
        <w:pStyle w:val="Heading3"/>
      </w:pPr>
      <w:r>
        <w:t xml:space="preserve">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47"/>
    <w:bookmarkStart w:id="48" w:name="definición-de-privilegios-y-accesos"/>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48"/>
    <w:bookmarkStart w:id="49" w:name="configuración-de-permisos"/>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p>
    <w:bookmarkEnd w:id="49"/>
    <w:bookmarkStart w:id="50" w:name="identificación-de-roles-y-privilegios"/>
    <w:p>
      <w:pPr>
        <w:pStyle w:val="Heading3"/>
      </w:pPr>
      <w:r>
        <w:t xml:space="preserve">Identificación de Roles y Privilegios</w:t>
      </w:r>
    </w:p>
    <w:p>
      <w:pPr>
        <w:pStyle w:val="FirstParagraph"/>
      </w:pP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p>
    <w:bookmarkEnd w:id="50"/>
    <w:bookmarkStart w:id="51" w:name="aprovisionamiento-de-cuentas-1"/>
    <w:p>
      <w:pPr>
        <w:pStyle w:val="Heading3"/>
      </w:pPr>
      <w:r>
        <w:t xml:space="preserve">Aprovisionamiento de Cuentas</w:t>
      </w:r>
    </w:p>
    <w:p>
      <w:pPr>
        <w:pStyle w:val="FirstParagraph"/>
      </w:pP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p>
    <w:bookmarkEnd w:id="51"/>
    <w:bookmarkStart w:id="52" w:name="X48d25bcfcf3274069ffc1b6019fb69b8e8e08d8"/>
    <w:p>
      <w:pPr>
        <w:pStyle w:val="Heading3"/>
      </w:pPr>
      <w:r>
        <w:t xml:space="preserve">Establecimiento de mecanismos de control de acceso</w:t>
      </w:r>
    </w:p>
    <w:p>
      <w:pPr>
        <w:pStyle w:val="FirstParagraph"/>
      </w:pP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p>
    <w:bookmarkEnd w:id="52"/>
    <w:bookmarkStart w:id="53" w:name="definición-de-privilegios-y-accesos-1"/>
    <w:p>
      <w:pPr>
        <w:pStyle w:val="Heading3"/>
      </w:pPr>
      <w:r>
        <w:t xml:space="preserve">Definición de Privilegios y Accesos</w:t>
      </w:r>
    </w:p>
    <w:p>
      <w:pPr>
        <w:pStyle w:val="FirstParagraph"/>
      </w:pP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p>
    <w:bookmarkEnd w:id="53"/>
    <w:bookmarkStart w:id="54" w:name="configuración-de-permisos-1"/>
    <w:p>
      <w:pPr>
        <w:pStyle w:val="Heading3"/>
      </w:pPr>
      <w:r>
        <w:t xml:space="preserve">Configuración de Permisos</w:t>
      </w:r>
    </w:p>
    <w:p>
      <w:pPr>
        <w:pStyle w:val="FirstParagraph"/>
      </w:pP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p>
      <w:pPr>
        <w:pStyle w:val="BodyText"/>
      </w:pPr>
      <w:r>
        <w:t xml:space="preserve">Con el objetivo de incrementar el nivel de seguridad, para el proceso de autenticación se tendrán en cuenta las siguientes consideraciones:</w:t>
      </w:r>
    </w:p>
    <w:p>
      <w:pPr>
        <w:pStyle w:val="BodyText"/>
      </w:pP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p>
    <w:p>
      <w:pPr>
        <w:pStyle w:val="BodyText"/>
      </w:pP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p>
    <w:p>
      <w:pPr>
        <w:pStyle w:val="BodyText"/>
      </w:pP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p>
    <w:p>
      <w:pPr>
        <w:pStyle w:val="BodyText"/>
      </w:pP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p>
    <w:p>
      <w:pPr>
        <w:pStyle w:val="BodyText"/>
      </w:pP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p>
    <w:p>
      <w:pPr>
        <w:pStyle w:val="BodyText"/>
      </w:pP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p>
      <w:pPr>
        <w:pStyle w:val="BodyTex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p>
    <w:p>
      <w:pPr>
        <w:pStyle w:val="BodyText"/>
      </w:pP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p>
    <w:p>
      <w:pPr>
        <w:pStyle w:val="BodyText"/>
      </w:pPr>
      <w:r>
        <w:t xml:space="preserve">Se propone integrar certificados SSL, que permite cifrar la información confidencial a fin de que solo los autorizados puedan tener acceso a ella, y así evitar manipulación de información confidencial. La Seguridad que brinda SSL, da garantía para acceder a los aplicativos de PNG.</w:t>
      </w:r>
    </w:p>
    <w:bookmarkEnd w:id="54"/>
    <w:bookmarkStart w:id="55" w:name="cómo-implementar-certificados-ssl"/>
    <w:p>
      <w:pPr>
        <w:pStyle w:val="Heading3"/>
      </w:pPr>
      <w:r>
        <w:t xml:space="preserve">Cómo implementar certificados SSL</w:t>
      </w:r>
    </w:p>
    <w:p>
      <w:pPr>
        <w:pStyle w:val="FirstParagraph"/>
      </w:pPr>
      <w:r>
        <w:t xml:space="preserve">Podrán ser adquiridos a través del proveedor de dominios.</w:t>
      </w:r>
    </w:p>
    <w:p>
      <w:pPr>
        <w:pStyle w:val="BodyText"/>
      </w:pPr>
      <w:r>
        <w:t xml:space="preserve">TLS el protocolo que surge para reforzar la seguridad de los certificados SSL, que funciona como mecanismo de encriptación para que sea realmente transparente el envío de la información, proporcionando una autenticación sólida, restringiendo la manipulación, interceptación y alteración de mensajes.</w:t>
      </w:r>
    </w:p>
    <w:p>
      <w:pPr>
        <w:pStyle w:val="BodyText"/>
      </w:pPr>
      <w:r>
        <w:t xml:space="preserve">La última versión del TLS es la 1.3</w:t>
      </w:r>
    </w:p>
    <w:bookmarkEnd w:id="55"/>
    <w:bookmarkStart w:id="56" w:name="representación-arquitectónica-1"/>
    <w:p>
      <w:pPr>
        <w:pStyle w:val="Heading3"/>
      </w:pPr>
      <w:r>
        <w:t xml:space="preserve">Representación Arquitectónica</w:t>
      </w:r>
    </w:p>
    <w:p>
      <w:pPr>
        <w:pStyle w:val="FirstParagraph"/>
      </w:pPr>
      <w:r>
        <w:t xml:space="preserve">Con una arquitectura orientada a servicios SUI recopila:</w:t>
      </w:r>
    </w:p>
    <w:p>
      <w:pPr>
        <w:numPr>
          <w:ilvl w:val="0"/>
          <w:numId w:val="1007"/>
        </w:numPr>
        <w:pStyle w:val="Compact"/>
      </w:pPr>
      <w:r>
        <w:t xml:space="preserve">Runtime: Es el servicio que interactúa con el usuario final (GUI) elaborado en Angular 11</w:t>
      </w:r>
    </w:p>
    <w:p>
      <w:pPr>
        <w:numPr>
          <w:ilvl w:val="0"/>
          <w:numId w:val="1007"/>
        </w:numPr>
        <w:pStyle w:val="Compact"/>
      </w:pPr>
      <w:r>
        <w:t xml:space="preserve">API Tx: Servicio API REST Base Node encargado de realizar las transacciones básicas CRUD</w:t>
      </w:r>
    </w:p>
    <w:p>
      <w:pPr>
        <w:numPr>
          <w:ilvl w:val="0"/>
          <w:numId w:val="1007"/>
        </w:numPr>
        <w:pStyle w:val="Compact"/>
      </w:pPr>
      <w:r>
        <w:t xml:space="preserve">API Config / Seguridad. Servicio Web API .Net Framework encargado de gestionar características con la autenticación y configuración</w:t>
      </w:r>
    </w:p>
    <w:p>
      <w:pPr>
        <w:pStyle w:val="FirstParagraph"/>
      </w:pPr>
    </w:p>
    <w:bookmarkEnd w:id="56"/>
    <w:bookmarkStart w:id="5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bookmarkEnd w:id="57"/>
    <w:bookmarkEnd w:id="58"/>
    <w:bookmarkStart w:id="64" w:name="migracion.6.-migración-de-datos"/>
    <w:p>
      <w:pPr>
        <w:pStyle w:val="Heading2"/>
      </w:pPr>
      <w:r>
        <w:t xml:space="preserve">Migracion.6. Migración de datos</w:t>
      </w:r>
    </w:p>
    <w:bookmarkStart w:id="0" w:name="fig:Migracion.6.Migracióndedatos"/>
    <w:p>
      <w:pPr>
        <w:pStyle w:val="CaptionedFigure"/>
      </w:pPr>
      <w:bookmarkStart w:id="62" w:name="fig:Migracion.6.Migracióndedatos"/>
      <w:r>
        <w:drawing>
          <wp:inline>
            <wp:extent cx="4864608" cy="2245659"/>
            <wp:effectExtent b="0" l="0" r="0" t="0"/>
            <wp:docPr descr="Figure 5: Vista. Migracion.6. Migración de datos" title="" id="60" name="Picture"/>
            <a:graphic>
              <a:graphicData uri="http://schemas.openxmlformats.org/drawingml/2006/picture">
                <pic:pic>
                  <pic:nvPicPr>
                    <pic:cNvPr descr="images/Migracion.6.Migracióndedatos.png" id="61" name="Picture"/>
                    <pic:cNvPicPr>
                      <a:picLocks noChangeArrowheads="1" noChangeAspect="1"/>
                    </pic:cNvPicPr>
                  </pic:nvPicPr>
                  <pic:blipFill>
                    <a:blip r:embed="rId59"/>
                    <a:stretch>
                      <a:fillRect/>
                    </a:stretch>
                  </pic:blipFill>
                  <pic:spPr bwMode="auto">
                    <a:xfrm>
                      <a:off x="0" y="0"/>
                      <a:ext cx="4864608" cy="2245659"/>
                    </a:xfrm>
                    <a:prstGeom prst="rect">
                      <a:avLst/>
                    </a:prstGeom>
                    <a:noFill/>
                    <a:ln w="9525">
                      <a:noFill/>
                      <a:headEnd/>
                      <a:tailEnd/>
                    </a:ln>
                  </pic:spPr>
                </pic:pic>
              </a:graphicData>
            </a:graphic>
          </wp:inline>
        </w:drawing>
      </w:r>
      <w:bookmarkEnd w:id="62"/>
    </w:p>
    <w:p>
      <w:pPr>
        <w:pStyle w:val="ImageCaption"/>
      </w:pPr>
      <w:r>
        <w:t xml:space="preserve">Figure 5: Vista. Migracion.6. Migración de datos</w:t>
      </w:r>
    </w:p>
    <w:bookmarkEnd w:id="0"/>
    <w:p>
      <w:pPr>
        <w:pStyle w:val="BodyText"/>
      </w:pPr>
      <w:r>
        <w:t xml:space="preserve">Modelo de acceso a datos de negocio del SIM.</w:t>
      </w:r>
    </w:p>
    <w:p>
      <w:pPr>
        <w:pStyle w:val="BodyText"/>
      </w:pPr>
      <w:r>
        <w:t xml:space="preserve">La imagen siguiente presenta la organización de los ítems de transporte de datos de negocio necesarios para que los módulos del SUI puedan recolectar, procesar, integrar y almacenarlo de forma organizada y escalable.</w:t>
      </w:r>
    </w:p>
    <w:p>
      <w:pPr>
        <w:pStyle w:val="BodyText"/>
      </w:pPr>
      <w:r>
        <w:t xml:space="preserve">Mediante esta organización, los datos de negocio son transportados desde sus respectivas fuentes mediante interfaces (principio de extensión y mantenibilidad referidos en las restricciones de la arquitecura del SUI Migrado). Los datos externos, entendidos como los de otros proveedores, son obtenidos mediante un intermediario: una API externa (</w:t>
      </w:r>
      <w:r>
        <w:rPr>
          <w:iCs/>
          <w:i/>
        </w:rPr>
        <w:t xml:space="preserve">reverse proxy</w:t>
      </w:r>
      <w:r>
        <w:t xml:space="preserve">).</w:t>
      </w:r>
    </w:p>
    <w:p>
      <w:pPr>
        <w:pStyle w:val="BodyText"/>
      </w:pPr>
      <w:r>
        <w:t xml:space="preserve">Consideramos tres tipos datos: datos transaccionales, históricos y externos, y presentamos una manera distinta de tratarlos y transportarlos.</w:t>
      </w:r>
    </w:p>
    <w:bookmarkStart w:id="63"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particular de la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Centralización de la comunicación con otros módulos del SUI migrado.</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App 2</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3</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App 4</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bl>
    <w:p>
      <w:pPr>
        <w:pStyle w:val="BodyText"/>
      </w:pPr>
    </w:p>
    <w:p>
      <w:r>
        <w:br w:type="page"/>
      </w:r>
    </w:p>
    <w:bookmarkEnd w:id="63"/>
    <w:bookmarkEnd w:id="64"/>
    <w:bookmarkEnd w:id="65"/>
    <w:bookmarkStart w:id="72" w:name="X51db734b0c6c45519e8763ed857e3b1bb3c993c"/>
    <w:p>
      <w:pPr>
        <w:pStyle w:val="Heading1"/>
      </w:pPr>
      <w:r>
        <w:t xml:space="preserve">Documento sobre especificaciones técnicas de infraestructura TI</w:t>
      </w:r>
    </w:p>
    <w:bookmarkStart w:id="69" w:name="lineabase.0.siu-aplicación.-física-1"/>
    <w:p>
      <w:pPr>
        <w:pStyle w:val="Heading2"/>
      </w:pPr>
      <w:r>
        <w:t xml:space="preserve">Lineabase.0.SIU Aplicación. Física</w:t>
      </w:r>
    </w:p>
    <w:bookmarkStart w:id="0" w:name="fig:Lineabase.0.SIUAplicación.Física"/>
    <w:p>
      <w:pPr>
        <w:pStyle w:val="CaptionedFigure"/>
      </w:pPr>
      <w:bookmarkStart w:id="68" w:name="fig:Lineabase.0.SIUAplicación.Física"/>
      <w:r>
        <w:drawing>
          <wp:inline>
            <wp:extent cx="5943600" cy="3905662"/>
            <wp:effectExtent b="0" l="0" r="0" t="0"/>
            <wp:docPr descr="Figure 6: Vista. Lineabase.0.SIU Aplicación. Física" title="" id="66" name="Picture"/>
            <a:graphic>
              <a:graphicData uri="http://schemas.openxmlformats.org/drawingml/2006/picture">
                <pic:pic>
                  <pic:nvPicPr>
                    <pic:cNvPr descr="images/Lineabase.0.SIUAplicación.Física.png" id="67" name="Picture"/>
                    <pic:cNvPicPr>
                      <a:picLocks noChangeArrowheads="1" noChangeAspect="1"/>
                    </pic:cNvPicPr>
                  </pic:nvPicPr>
                  <pic:blipFill>
                    <a:blip r:embed="rId32"/>
                    <a:stretch>
                      <a:fillRect/>
                    </a:stretch>
                  </pic:blipFill>
                  <pic:spPr bwMode="auto">
                    <a:xfrm>
                      <a:off x="0" y="0"/>
                      <a:ext cx="5943600" cy="3905662"/>
                    </a:xfrm>
                    <a:prstGeom prst="rect">
                      <a:avLst/>
                    </a:prstGeom>
                    <a:noFill/>
                    <a:ln w="9525">
                      <a:noFill/>
                      <a:headEnd/>
                      <a:tailEnd/>
                    </a:ln>
                  </pic:spPr>
                </pic:pic>
              </a:graphicData>
            </a:graphic>
          </wp:inline>
        </w:drawing>
      </w:r>
      <w:bookmarkEnd w:id="68"/>
    </w:p>
    <w:p>
      <w:pPr>
        <w:pStyle w:val="ImageCaption"/>
      </w:pPr>
      <w:r>
        <w:t xml:space="preserve">Figure 6: Vista. Lineabase.0.SIU Aplicación.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tecnología física (hardware) implementados en la Fase I y requeridos por Fase II (presente proyecto).</w:t>
      </w:r>
    </w:p>
    <w:bookmarkEnd w:id="69"/>
    <w:bookmarkStart w:id="71" w:name="representación-arquitectónica-2"/>
    <w:p>
      <w:pPr>
        <w:pStyle w:val="Heading2"/>
      </w:pPr>
      <w:r>
        <w:t xml:space="preserve">Representación Arquitectónica</w:t>
      </w:r>
    </w:p>
    <w:p>
      <w:pPr>
        <w:pStyle w:val="FirstParagraph"/>
      </w:pPr>
      <w:r>
        <w:t xml:space="preserve">Con una arquitectura orientada a servicios SUI recopila:</w:t>
      </w:r>
    </w:p>
    <w:p>
      <w:pPr>
        <w:numPr>
          <w:ilvl w:val="0"/>
          <w:numId w:val="1008"/>
        </w:numPr>
        <w:pStyle w:val="Compact"/>
      </w:pPr>
      <w:r>
        <w:t xml:space="preserve">Runtime: Es el servicio que interactúa con el usuario final (GUI) elaborado en Angular 11</w:t>
      </w:r>
    </w:p>
    <w:p>
      <w:pPr>
        <w:numPr>
          <w:ilvl w:val="0"/>
          <w:numId w:val="1008"/>
        </w:numPr>
        <w:pStyle w:val="Compact"/>
      </w:pPr>
      <w:r>
        <w:t xml:space="preserve">API Tx: Servicio API REST Base Node encargado de realizar las transacciones básicas CRUD</w:t>
      </w:r>
    </w:p>
    <w:p>
      <w:pPr>
        <w:numPr>
          <w:ilvl w:val="0"/>
          <w:numId w:val="1008"/>
        </w:numPr>
        <w:pStyle w:val="Compact"/>
      </w:pPr>
      <w:r>
        <w:t xml:space="preserve">API Config / Seguridad. Servicio Web API .Net Framework encargado de gestionar características con la autenticación y configuración</w:t>
      </w:r>
    </w:p>
    <w:p>
      <w:pPr>
        <w:pStyle w:val="FirstParagraph"/>
      </w:pPr>
    </w:p>
    <w:bookmarkStart w:id="7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 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p>
    <w:p>
      <w:pPr>
        <w:pStyle w:val="BodyText"/>
      </w:pPr>
      <w:r>
        <w:rPr>
          <w:rStyle w:val="VerbatimChar"/>
        </w:rPr>
        <w:t xml:space="preserve">Generated on: Thu Nov 23 2023 14:12:15 GMT-0500 (COT)</w:t>
      </w:r>
    </w:p>
    <w:bookmarkEnd w:id="70"/>
    <w:bookmarkEnd w:id="71"/>
    <w:bookmarkEnd w:id="7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2023-11-23T19:16:57Z</dcterms:created>
  <dcterms:modified xsi:type="dcterms:W3CDTF">2023-11-23T19:16:57Z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