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1.15ac385 de 22 Oct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22 Oct 2023</w:t>
      </w:r>
    </w:p>
    <w:p>
      <w:r>
        <w:br w:type="page"/>
      </w:r>
    </w:p>
    <w:p>
      <w:pPr>
        <w:pStyle w:val="BodyText"/>
      </w:pPr>
      <w:r>
        <w:t xml:space="preserve">{## Template to insert build date and source ##}</w:t>
      </w:r>
      <w:r>
        <w:t xml:space="preserve"> </w:t>
      </w:r>
      <w:r>
        <w:t xml:space="preserve">Los productos de esta etapa, Migración Funcional SIU, Contrato 078-2023,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Fase 1 del proyecto PGN SIU del 2022,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yperlink"/>
          </w:rPr>
          <w:t xml:space="preserve">Sharepoint Softgic@{{manubot.ci_source.commit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BodyText"/>
      </w:pPr>
    </w:p>
    <w:bookmarkStart w:id="28" w:name="autores"/>
    <w:p>
      <w:pPr>
        <w:pStyle w:val="Heading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BodyText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BodyText"/>
      </w:pPr>
    </w:p>
    <w:bookmarkEnd w:id="2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2023-10-22T19:27:04Z</dcterms:created>
  <dcterms:modified xsi:type="dcterms:W3CDTF">2023-10-22T19:27:04Z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