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1.55548b5</w:t>
            </w:r>
          </w:p>
        </w:tc>
        <w:tc>
          <w:tcPr/>
          <w:p>
            <w:pPr>
              <w:pStyle w:val="Compact"/>
              <w:jc w:val="left"/>
            </w:pPr>
            <w:r>
              <w:t xml:space="preserve">2024-05-29. Observaciones OCI (Control Interno y Arquitectura). 5</w:t>
            </w:r>
          </w:p>
        </w:tc>
      </w:tr>
      <w:tr>
        <w:tc>
          <w:tcPr/>
          <w:p>
            <w:pPr>
              <w:pStyle w:val="Compact"/>
              <w:jc w:val="left"/>
            </w:pPr>
            <w:r>
              <w:t xml:space="preserve">1.ece78f0</w:t>
            </w:r>
          </w:p>
        </w:tc>
        <w:tc>
          <w:tcPr/>
          <w:p>
            <w:pPr>
              <w:pStyle w:val="Compact"/>
              <w:jc w:val="left"/>
            </w:pPr>
            <w:r>
              <w:t xml:space="preserve">2024-05-29. cambio</w:t>
            </w: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2024-05-29T15:12:11Z</dcterms:created>
  <dcterms:modified xsi:type="dcterms:W3CDTF">2024-05-29T15:12:11Z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