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SUI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SUI</w:t>
            </w:r>
          </w:p>
        </w:tc>
      </w:tr>
      <w:tr>
        <w:tc>
          <w:tcPr/>
          <w:p>
            <w:pPr>
              <w:pStyle w:val="Compact"/>
              <w:jc w:val="left"/>
            </w:pPr>
            <w:r>
              <w:t xml:space="preserve">Palabras clave</w:t>
            </w:r>
          </w:p>
        </w:tc>
        <w:tc>
          <w:tcPr/>
          <w:p>
            <w:pPr>
              <w:pStyle w:val="Compact"/>
              <w:jc w:val="left"/>
            </w:pPr>
            <w:r>
              <w:t xml:space="preserve">SUI,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1.9b55dc5</w:t>
            </w:r>
          </w:p>
        </w:tc>
        <w:tc>
          <w:tcPr/>
          <w:p>
            <w:pPr>
              <w:pStyle w:val="Compact"/>
              <w:jc w:val="left"/>
            </w:pPr>
            <w:r>
              <w:t xml:space="preserve">2024-05-29. cfg</w:t>
            </w:r>
          </w:p>
        </w:tc>
      </w:tr>
      <w:tr>
        <w:tc>
          <w:tcPr/>
          <w:p>
            <w:pPr>
              <w:pStyle w:val="Compact"/>
              <w:jc w:val="left"/>
            </w:pPr>
            <w:r>
              <w:t xml:space="preserve">1.8bf5d95</w:t>
            </w:r>
          </w:p>
        </w:tc>
        <w:tc>
          <w:tcPr/>
          <w:p>
            <w:pPr>
              <w:pStyle w:val="Compact"/>
              <w:jc w:val="left"/>
            </w:pPr>
            <w:r>
              <w:t xml:space="preserve">2024-05-28. Observaciones OCI (Control Interno y Arquitectura). 1</w:t>
            </w:r>
          </w:p>
        </w:tc>
      </w:tr>
      <w:tr>
        <w:tc>
          <w:tcPr/>
          <w:p>
            <w:pPr>
              <w:pStyle w:val="Compact"/>
              <w:jc w:val="left"/>
            </w:pPr>
            <w:r>
              <w:t xml:space="preserve">1.b195654</w:t>
            </w:r>
          </w:p>
        </w:tc>
        <w:tc>
          <w:tcPr/>
          <w:p>
            <w:pPr>
              <w:pStyle w:val="Compact"/>
              <w:jc w:val="left"/>
            </w:pPr>
            <w:r>
              <w:t xml:space="preserve">2023-12-26. upd</w:t>
            </w:r>
          </w:p>
        </w:tc>
      </w:tr>
      <w:tr>
        <w:tc>
          <w:tcPr/>
          <w:p>
            <w:pPr>
              <w:pStyle w:val="Compact"/>
              <w:jc w:val="left"/>
            </w:pPr>
            <w:r>
              <w:t xml:space="preserve">1.be86e37</w:t>
            </w:r>
          </w:p>
        </w:tc>
        <w:tc>
          <w:tcPr/>
          <w:p>
            <w:pPr>
              <w:pStyle w:val="Compact"/>
              <w:jc w:val="left"/>
            </w:pPr>
            <w:r>
              <w:t xml:space="preserve">2023-12-18. docseg–dic</w:t>
            </w:r>
          </w:p>
        </w:tc>
      </w:tr>
      <w:tr>
        <w:tc>
          <w:tcPr/>
          <w:p>
            <w:pPr>
              <w:pStyle w:val="Compact"/>
              <w:jc w:val="left"/>
            </w:pPr>
            <w:r>
              <w:t xml:space="preserve">1.eab1fd3</w:t>
            </w:r>
          </w:p>
        </w:tc>
        <w:tc>
          <w:tcPr/>
          <w:p>
            <w:pPr>
              <w:pStyle w:val="Compact"/>
              <w:jc w:val="left"/>
            </w:pPr>
            <w:r>
              <w:t xml:space="preserve">2023-12-14. doc–dic</w:t>
            </w:r>
          </w:p>
        </w:tc>
      </w:tr>
      <w:tr>
        <w:tc>
          <w:tcPr/>
          <w:p>
            <w:pPr>
              <w:pStyle w:val="Compact"/>
              <w:jc w:val="left"/>
            </w:pPr>
            <w:r>
              <w:t xml:space="preserve">1.0001165</w:t>
            </w:r>
          </w:p>
        </w:tc>
        <w:tc>
          <w:tcPr/>
          <w:p>
            <w:pPr>
              <w:pStyle w:val="Compact"/>
              <w:jc w:val="left"/>
            </w:pPr>
            <w:r>
              <w:t xml:space="preserve">2023-12-05. upd.pptx</w:t>
            </w:r>
          </w:p>
        </w:tc>
      </w:tr>
      <w:tr>
        <w:tc>
          <w:tcPr/>
          <w:p>
            <w:pPr>
              <w:pStyle w:val="Compact"/>
              <w:jc w:val="left"/>
            </w:pPr>
            <w:r>
              <w:t xml:space="preserve">1.a001bb6</w:t>
            </w:r>
          </w:p>
        </w:tc>
        <w:tc>
          <w:tcPr/>
          <w:p>
            <w:pPr>
              <w:pStyle w:val="Compact"/>
              <w:jc w:val="left"/>
            </w:pPr>
            <w:r>
              <w:t xml:space="preserve">2023-12-04. upd pptx</w:t>
            </w:r>
          </w:p>
        </w:tc>
      </w:tr>
      <w:tr>
        <w:tc>
          <w:tcPr/>
          <w:p>
            <w:pPr>
              <w:pStyle w:val="Compact"/>
              <w:jc w:val="left"/>
            </w:pPr>
            <w:r>
              <w:t xml:space="preserve">1.9fe2cc2</w:t>
            </w:r>
          </w:p>
        </w:tc>
        <w:tc>
          <w:tcPr/>
          <w:p>
            <w:pPr>
              <w:pStyle w:val="Compact"/>
              <w:jc w:val="left"/>
            </w:pPr>
            <w:r>
              <w:t xml:space="preserve">2023-11-30. pptx–pgn</w:t>
            </w:r>
          </w:p>
        </w:tc>
      </w:tr>
      <w:tr>
        <w:tc>
          <w:tcPr/>
          <w:p>
            <w:pPr>
              <w:pStyle w:val="Compact"/>
              <w:jc w:val="left"/>
            </w:pPr>
            <w:r>
              <w:t xml:space="preserve">1.d430b1d</w:t>
            </w:r>
          </w:p>
        </w:tc>
        <w:tc>
          <w:tcPr/>
          <w:p>
            <w:pPr>
              <w:pStyle w:val="Compact"/>
              <w:jc w:val="left"/>
            </w:pPr>
            <w:r>
              <w:t xml:space="preserve">2023-11-30. ppt–tamaño-upd</w:t>
            </w:r>
          </w:p>
        </w:tc>
      </w:tr>
      <w:tr>
        <w:tc>
          <w:tcPr/>
          <w:p>
            <w:pPr>
              <w:pStyle w:val="Compact"/>
              <w:jc w:val="left"/>
            </w:pPr>
            <w:r>
              <w:t xml:space="preserve">1.f0b7484</w:t>
            </w:r>
          </w:p>
        </w:tc>
        <w:tc>
          <w:tcPr/>
          <w:p>
            <w:pPr>
              <w:pStyle w:val="Compact"/>
              <w:jc w:val="left"/>
            </w:pPr>
            <w:r>
              <w:t xml:space="preserve">2023-11-30. ppt–tamaño</w:t>
            </w:r>
          </w:p>
        </w:tc>
      </w:tr>
      <w:tr>
        <w:tc>
          <w:tcPr/>
          <w:p>
            <w:pPr>
              <w:pStyle w:val="Compact"/>
              <w:jc w:val="left"/>
            </w:pPr>
            <w:r>
              <w:t xml:space="preserve">Vínculos</w:t>
            </w:r>
          </w:p>
        </w:tc>
        <w:tc>
          <w:tcPr/>
          <w:p>
            <w:pPr>
              <w:pStyle w:val="Compact"/>
              <w:jc w:val="left"/>
            </w:pPr>
            <w:hyperlink r:id="rId21">
              <w:r>
                <w:rPr>
                  <w:rStyle w:val="Hyperlink"/>
                </w:rPr>
                <w:t xml:space="preserve">N003a Vista Segmento PGN SUI</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2024-05-29T11:04:37Z</dcterms:created>
  <dcterms:modified xsi:type="dcterms:W3CDTF">2024-05-29T11:04:37Z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