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1.083b287</w:t>
            </w:r>
          </w:p>
        </w:tc>
        <w:tc>
          <w:tcPr/>
          <w:p>
            <w:pPr>
              <w:pStyle w:val="Compact"/>
              <w:jc w:val="left"/>
            </w:pPr>
            <w:r>
              <w:t xml:space="preserve">2023-10-22. histr23</w:t>
            </w:r>
          </w:p>
        </w:tc>
      </w:tr>
      <w:tr>
        <w:tc>
          <w:tcPr/>
          <w:p>
            <w:pPr>
              <w:pStyle w:val="Compact"/>
              <w:jc w:val="left"/>
            </w:pPr>
            <w:r>
              <w:t xml:space="preserve">1.5b1e7ff</w:t>
            </w:r>
          </w:p>
        </w:tc>
        <w:tc>
          <w:tcPr/>
          <w:p>
            <w:pPr>
              <w:pStyle w:val="Compact"/>
              <w:jc w:val="left"/>
            </w:pPr>
            <w:r>
              <w:t xml:space="preserve">2023-10-22. export</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2023-10-27T16:13:02Z</dcterms:created>
  <dcterms:modified xsi:type="dcterms:W3CDTF">2023-10-27T16:13:02Z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