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1.be42976</w:t>
            </w:r>
          </w:p>
        </w:tc>
        <w:tc>
          <w:tcPr/>
          <w:p>
            <w:pPr>
              <w:pStyle w:val="Compact"/>
              <w:jc w:val="left"/>
            </w:pPr>
            <w:r>
              <w:t xml:space="preserve">2023-11-29. pptx6</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2023-12-04T15:50:43Z</dcterms:created>
  <dcterms:modified xsi:type="dcterms:W3CDTF">2023-12-04T15:50:43Z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