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92129"/>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a.siu-contexto-módulo"/>
    <w:p>
      <w:pPr>
        <w:pStyle w:val="Heading2"/>
      </w:pPr>
      <w:r>
        <w:t xml:space="preserve">Migracion.1a.a.SIU Contexto Módulo</w:t>
      </w:r>
    </w:p>
    <w:bookmarkStart w:id="0" w:name="fig:Migracion.1a.a.SIUContextoMódulo"/>
    <w:p>
      <w:pPr>
        <w:pStyle w:val="CaptionedFigure"/>
      </w:pPr>
      <w:bookmarkStart w:id="50" w:name="fig:Migracion.1a.a.SIUContextoMódulo"/>
      <w:r>
        <w:drawing>
          <wp:inline>
            <wp:extent cx="5943600" cy="3833926"/>
            <wp:effectExtent b="0" l="0" r="0" t="0"/>
            <wp:docPr descr="Figure 5: Diagram: Migracion.1a.a.SIU Contexto Módulo" title="" id="48" name="Picture"/>
            <a:graphic>
              <a:graphicData uri="http://schemas.openxmlformats.org/drawingml/2006/picture">
                <pic:pic>
                  <pic:nvPicPr>
                    <pic:cNvPr descr="images/Migracion.1a.a.SIUContextoMódulo.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1.-siu-módulos-componentes"/>
    <w:p>
      <w:pPr>
        <w:pStyle w:val="Heading2"/>
      </w:pPr>
      <w:r>
        <w:t xml:space="preserve">Migracion.1b.1. SIU Módulos Componentes</w:t>
      </w:r>
    </w:p>
    <w:bookmarkStart w:id="0" w:name="fig:Migracion.1b.1.SIUMódulosComponentes"/>
    <w:p>
      <w:pPr>
        <w:pStyle w:val="CaptionedFigure"/>
      </w:pPr>
      <w:bookmarkStart w:id="57" w:name="fig:Migracion.1b.1.SIUMódulosComponentes"/>
      <w:r>
        <w:drawing>
          <wp:inline>
            <wp:extent cx="5943600" cy="3553962"/>
            <wp:effectExtent b="0" l="0" r="0" t="0"/>
            <wp:docPr descr="Figure 6: Diagram: Migracion.1b.1. SIU Módulos Componentes" title="" id="55" name="Picture"/>
            <a:graphic>
              <a:graphicData uri="http://schemas.openxmlformats.org/drawingml/2006/picture">
                <pic:pic>
                  <pic:nvPicPr>
                    <pic:cNvPr descr="images/Migracion.1b.1.SIUMódulosComponentes.png" id="56" name="Picture"/>
                    <pic:cNvPicPr>
                      <a:picLocks noChangeArrowheads="1" noChangeAspect="1"/>
                    </pic:cNvPicPr>
                  </pic:nvPicPr>
                  <pic:blipFill>
                    <a:blip r:embed="rId54"/>
                    <a:stretch>
                      <a:fillRect/>
                    </a:stretch>
                  </pic:blipFill>
                  <pic:spPr bwMode="auto">
                    <a:xfrm>
                      <a:off x="0" y="0"/>
                      <a:ext cx="5943600" cy="3553962"/>
                    </a:xfrm>
                    <a:prstGeom prst="rect">
                      <a:avLst/>
                    </a:prstGeom>
                    <a:noFill/>
                    <a:ln w="9525">
                      <a:noFill/>
                      <a:headEnd/>
                      <a:tailEnd/>
                    </a:ln>
                  </pic:spPr>
                </pic:pic>
              </a:graphicData>
            </a:graphic>
          </wp:inline>
        </w:drawing>
      </w:r>
      <w:bookmarkEnd w:id="57"/>
    </w:p>
    <w:p>
      <w:pPr>
        <w:pStyle w:val="ImageCaption"/>
      </w:pPr>
      <w:r>
        <w:t xml:space="preserve">Figure 6: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879813"/>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879813"/>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110905"/>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110905"/>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p>
      <w:pPr>
        <w:numPr>
          <w:ilvl w:val="0"/>
          <w:numId w:val="1016"/>
        </w:numPr>
        <w:pStyle w:val="Compact"/>
      </w:pPr>
      <w:r>
        <w:t xml:space="preserve">RSG11. Estrategias de Migración de datos</w:t>
      </w:r>
    </w:p>
    <w:p>
      <w:pPr>
        <w:numPr>
          <w:ilvl w:val="0"/>
          <w:numId w:val="1016"/>
        </w:numPr>
        <w:pStyle w:val="Compact"/>
      </w:pPr>
      <w:r>
        <w:t xml:space="preserve">RSG12. Arquitectura de almancenamiento y distribución de datos SIU</w:t>
      </w:r>
    </w:p>
    <w:p>
      <w:pPr>
        <w:numPr>
          <w:ilvl w:val="0"/>
          <w:numId w:val="1016"/>
        </w:numPr>
        <w:pStyle w:val="Compact"/>
      </w:pPr>
      <w:r>
        <w:t xml:space="preserve">RSG13. Sistema de autenticación híbrido</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Fri Oct 27 2023 10:07:56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2023-10-27T15:11:54Z</dcterms:created>
  <dcterms:modified xsi:type="dcterms:W3CDTF">2023-10-27T15:11:54Z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