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3.png" ContentType="image/png"/>
  <Override PartName="/word/media/rId66.png" ContentType="image/png"/>
  <Override PartName="/word/media/rId60.png" ContentType="image/png"/>
  <Override PartName="/word/media/rId4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umento-de-arquitectura-migración-sui"/>
    <w:p>
      <w:pPr>
        <w:pStyle w:val="Heading1"/>
      </w:pPr>
      <w:r>
        <w:t xml:space="preserve">Documento de Arquitectura Migración SUI</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lineabase.1a.siu-componente">
        <w:r>
          <w:rPr>
            <w:rStyle w:val="Hyperlink"/>
          </w:rPr>
          <w:t xml:space="preserve">Lineabase.1a.SIU componente</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siu-modulos">
        <w:r>
          <w:rPr>
            <w:rStyle w:val="Hyperlink"/>
          </w:rPr>
          <w:t xml:space="preserve">Migracion.1.SIU modulos</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r>
        <w:br w:type="page"/>
      </w:r>
    </w:p>
    <w:p>
      <w:r>
        <w:pict>
          <v:rect style="width:0;height:1.5pt" o:hralign="center" o:hrstd="t" o:hr="t"/>
        </w:pict>
      </w:r>
    </w:p>
    <w:bookmarkEnd w:id="20"/>
    <w:bookmarkStart w:id="52" w:name="línea-base-pgn-siu"/>
    <w:p>
      <w:pPr>
        <w:pStyle w:val="Heading1"/>
      </w:pPr>
      <w:r>
        <w:t xml:space="preserve">Línea Base PGN SIU</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1392152"/>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1392152"/>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5"/>
        </w:numPr>
        <w:pStyle w:val="Compact"/>
      </w:pPr>
      <w:r>
        <w:t xml:space="preserve">Runtime: Es el servicio que interactúa con el usuario final (GUI) elaborado en Angular 11</w:t>
      </w:r>
    </w:p>
    <w:p>
      <w:pPr>
        <w:numPr>
          <w:ilvl w:val="0"/>
          <w:numId w:val="1005"/>
        </w:numPr>
        <w:pStyle w:val="Compact"/>
      </w:pPr>
      <w:r>
        <w:t xml:space="preserve">API Tx: Servicio api rest base node encargado de realizar las transacciones básicas CRUD</w:t>
      </w:r>
    </w:p>
    <w:p>
      <w:pPr>
        <w:numPr>
          <w:ilvl w:val="0"/>
          <w:numId w:val="1005"/>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943600" cy="7357496"/>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943600" cy="7357496"/>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6"/>
        </w:numPr>
        <w:pStyle w:val="Compact"/>
      </w:pPr>
      <w:r>
        <w:t xml:space="preserve">Angular 11 (Web)</w:t>
      </w:r>
    </w:p>
    <w:p>
      <w:pPr>
        <w:numPr>
          <w:ilvl w:val="0"/>
          <w:numId w:val="1006"/>
        </w:numPr>
        <w:pStyle w:val="Compact"/>
      </w:pPr>
      <w:r>
        <w:t xml:space="preserve">API Transaccional (Node Js)</w:t>
      </w:r>
    </w:p>
    <w:p>
      <w:pPr>
        <w:numPr>
          <w:ilvl w:val="0"/>
          <w:numId w:val="1006"/>
        </w:numPr>
        <w:pStyle w:val="Compact"/>
      </w:pPr>
      <w:r>
        <w:t xml:space="preserve">API Config (C#)</w:t>
      </w:r>
    </w:p>
    <w:p>
      <w:pPr>
        <w:numPr>
          <w:ilvl w:val="0"/>
          <w:numId w:val="1006"/>
        </w:numPr>
        <w:pStyle w:val="Compact"/>
      </w:pPr>
      <w:r>
        <w:t xml:space="preserve">Persistencia (SQL)</w:t>
      </w:r>
    </w:p>
    <w:p>
      <w:pPr>
        <w:pStyle w:val="FirstParagraph"/>
      </w:pPr>
      <w:r>
        <w:t xml:space="preserve">Asuntos de la Migración:</w:t>
      </w:r>
    </w:p>
    <w:p>
      <w:pPr>
        <w:numPr>
          <w:ilvl w:val="0"/>
          <w:numId w:val="1007"/>
        </w:numPr>
        <w:pStyle w:val="Compact"/>
      </w:pPr>
      <w:r>
        <w:t xml:space="preserve">Estrategia CMS central</w:t>
      </w:r>
    </w:p>
    <w:p>
      <w:pPr>
        <w:numPr>
          <w:ilvl w:val="0"/>
          <w:numId w:val="1007"/>
        </w:numPr>
        <w:pStyle w:val="Compact"/>
      </w:pPr>
      <w:r>
        <w:t xml:space="preserve">Motor de búsqueda</w:t>
      </w:r>
    </w:p>
    <w:p>
      <w:pPr>
        <w:numPr>
          <w:ilvl w:val="0"/>
          <w:numId w:val="1007"/>
        </w:numPr>
        <w:pStyle w:val="Compact"/>
      </w:pPr>
      <w:r>
        <w:t xml:space="preserve">Estatego como BI</w:t>
      </w:r>
    </w:p>
    <w:p>
      <w:pPr>
        <w:numPr>
          <w:ilvl w:val="0"/>
          <w:numId w:val="1007"/>
        </w:numPr>
        <w:pStyle w:val="Compact"/>
      </w:pPr>
      <w:r>
        <w:t xml:space="preserve">Conciliación y Doku</w:t>
      </w:r>
    </w:p>
    <w:p>
      <w:pPr>
        <w:numPr>
          <w:ilvl w:val="0"/>
          <w:numId w:val="1007"/>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32"/>
    <w:bookmarkEnd w:id="33"/>
    <w:bookmarkStart w:id="39" w:name="lineabase.1a.siu-componente"/>
    <w:p>
      <w:pPr>
        <w:pStyle w:val="Heading2"/>
      </w:pPr>
      <w:r>
        <w:t xml:space="preserve">Lineabase.1a.SIU componente</w:t>
      </w:r>
    </w:p>
    <w:bookmarkStart w:id="0" w:name="fig:Lineabase.1a.SIUcomponente"/>
    <w:p>
      <w:pPr>
        <w:pStyle w:val="CaptionedFigure"/>
      </w:pPr>
      <w:bookmarkStart w:id="37" w:name="fig:Lineabase.1a.SIUcomponente"/>
      <w:r>
        <w:drawing>
          <wp:inline>
            <wp:extent cx="5943600" cy="4793225"/>
            <wp:effectExtent b="0" l="0" r="0" t="0"/>
            <wp:docPr descr="Figure 3: Diagram: Lineabase.1a.SIU componente" title="" id="35" name="Picture"/>
            <a:graphic>
              <a:graphicData uri="http://schemas.openxmlformats.org/drawingml/2006/picture">
                <pic:pic>
                  <pic:nvPicPr>
                    <pic:cNvPr descr="images/Lineabase.1a.SIUcomponente.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w:t>
      </w:r>
    </w:p>
    <w:bookmarkEnd w:id="0"/>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8"/>
        </w:numPr>
        <w:pStyle w:val="Compact"/>
      </w:pPr>
      <w:r>
        <w:t xml:space="preserve">Servidores Web Front End</w:t>
      </w:r>
    </w:p>
    <w:p>
      <w:pPr>
        <w:numPr>
          <w:ilvl w:val="0"/>
          <w:numId w:val="1008"/>
        </w:numPr>
        <w:pStyle w:val="Compact"/>
      </w:pPr>
      <w:r>
        <w:t xml:space="preserve">Servidores de Aplicaciones</w:t>
      </w:r>
    </w:p>
    <w:p>
      <w:pPr>
        <w:numPr>
          <w:ilvl w:val="0"/>
          <w:numId w:val="1008"/>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1"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09"/>
        </w:numPr>
        <w:pStyle w:val="Compact"/>
      </w:pPr>
      <w:r>
        <w:t xml:space="preserve">RSG1. Estrategia CMS central</w:t>
      </w:r>
    </w:p>
    <w:p>
      <w:pPr>
        <w:numPr>
          <w:ilvl w:val="0"/>
          <w:numId w:val="1009"/>
        </w:numPr>
        <w:pStyle w:val="Compact"/>
      </w:pPr>
      <w:r>
        <w:t xml:space="preserve">RSG2. Motor de búsqueda</w:t>
      </w:r>
    </w:p>
    <w:p>
      <w:pPr>
        <w:numPr>
          <w:ilvl w:val="0"/>
          <w:numId w:val="1009"/>
        </w:numPr>
        <w:pStyle w:val="Compact"/>
      </w:pPr>
      <w:r>
        <w:t xml:space="preserve">RSG3. Estatego como BI</w:t>
      </w:r>
    </w:p>
    <w:p>
      <w:pPr>
        <w:numPr>
          <w:ilvl w:val="0"/>
          <w:numId w:val="1009"/>
        </w:numPr>
        <w:pStyle w:val="Compact"/>
      </w:pPr>
      <w:r>
        <w:t xml:space="preserve">RSG4. Conciliación y Doku</w:t>
      </w:r>
    </w:p>
    <w:p>
      <w:pPr>
        <w:numPr>
          <w:ilvl w:val="0"/>
          <w:numId w:val="1009"/>
        </w:numPr>
        <w:pStyle w:val="Compact"/>
      </w:pPr>
      <w:r>
        <w:t xml:space="preserve">RSG5. Gestión de sesiones / caducidad</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r>
        <w:t xml:space="preserve"> </w:t>
      </w:r>
      <w:r>
        <w:t xml:space="preserve">Informar a la PGN de las implicaciones junto con alternativas para la implementación de la acción de aprovechamiento: diseño del motor de búsqueda compartido (sharepoint). La PGN debe decidir si o no a la acción propuesta.</w:t>
      </w:r>
      <w:r>
        <w:t xml:space="preserve"> </w:t>
      </w:r>
      <w:r>
        <w:t xml:space="preserve">Informar a la PGN de las implicaciones junto con alternativas para la implementación de la acción de manejo del riesgo: diseño de solución de inteligencia de negocio (Power BI). La PGN debe decidir si o no a la acción propuesta.</w:t>
      </w:r>
      <w:r>
        <w:t xml:space="preserve"> </w:t>
      </w:r>
      <w:r>
        <w:t xml:space="preserve">Informar a la PGN de las implicaciones junto con alternativas para la implementación de la acción de manejo del riesgo: ubicar la lógica, los flujos, y los datos misionales dentro del SIU. La PGN debe decidir si o no a la acción propuesta.</w:t>
      </w:r>
      <w:r>
        <w:t xml:space="preserve"> </w:t>
      </w: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Start w:id="50"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0"/>
    <w:bookmarkEnd w:id="51"/>
    <w:bookmarkEnd w:id="52"/>
    <w:bookmarkStart w:id="59" w:name="arquitectura-migración-pgn-siu"/>
    <w:p>
      <w:pPr>
        <w:pStyle w:val="Heading1"/>
      </w:pPr>
      <w:r>
        <w:t xml:space="preserve">Arquitectura Migración PGN SIU</w:t>
      </w:r>
    </w:p>
    <w:bookmarkStart w:id="58" w:name="migracion.1.siu-modulos"/>
    <w:p>
      <w:pPr>
        <w:pStyle w:val="Heading2"/>
      </w:pPr>
      <w:r>
        <w:t xml:space="preserve">Migracion.1.SIU modulos</w:t>
      </w:r>
    </w:p>
    <w:bookmarkStart w:id="0" w:name="fig:Migracion.1.SIUmodulos"/>
    <w:p>
      <w:pPr>
        <w:pStyle w:val="CaptionedFigure"/>
      </w:pPr>
      <w:bookmarkStart w:id="56" w:name="fig:Migracion.1.SIUmodulos"/>
      <w:r>
        <w:drawing>
          <wp:inline>
            <wp:extent cx="5943600" cy="3354363"/>
            <wp:effectExtent b="0" l="0" r="0" t="0"/>
            <wp:docPr descr="Figure 6: Diagram: Migracion.1.SIU modulos" title="" id="54" name="Picture"/>
            <a:graphic>
              <a:graphicData uri="http://schemas.openxmlformats.org/drawingml/2006/picture">
                <pic:pic>
                  <pic:nvPicPr>
                    <pic:cNvPr descr="images/Migracion.1.SIUmodulos.png" id="55" name="Picture"/>
                    <pic:cNvPicPr>
                      <a:picLocks noChangeArrowheads="1" noChangeAspect="1"/>
                    </pic:cNvPicPr>
                  </pic:nvPicPr>
                  <pic:blipFill>
                    <a:blip r:embed="rId53"/>
                    <a:stretch>
                      <a:fillRect/>
                    </a:stretch>
                  </pic:blipFill>
                  <pic:spPr bwMode="auto">
                    <a:xfrm>
                      <a:off x="0" y="0"/>
                      <a:ext cx="5943600" cy="3354363"/>
                    </a:xfrm>
                    <a:prstGeom prst="rect">
                      <a:avLst/>
                    </a:prstGeom>
                    <a:noFill/>
                    <a:ln w="9525">
                      <a:noFill/>
                      <a:headEnd/>
                      <a:tailEnd/>
                    </a:ln>
                  </pic:spPr>
                </pic:pic>
              </a:graphicData>
            </a:graphic>
          </wp:inline>
        </w:drawing>
      </w:r>
      <w:bookmarkEnd w:id="56"/>
    </w:p>
    <w:p>
      <w:pPr>
        <w:pStyle w:val="ImageCaption"/>
      </w:pPr>
      <w:r>
        <w:t xml:space="preserve">Figure 6: Diagram: Migracion.1.SIU modulos</w:t>
      </w:r>
    </w:p>
    <w:bookmarkEnd w:id="0"/>
    <w:p>
      <w:pPr>
        <w:pStyle w:val="BodyText"/>
      </w:pPr>
      <w:r>
        <w:t xml:space="preserve">Distribución de los servicios y paquetes que integran la aplicación de SUI.</w:t>
      </w:r>
    </w:p>
    <w:p>
      <w:pPr>
        <w:pStyle w:val="BodyText"/>
      </w:pPr>
      <w:r>
        <w:t xml:space="preserve">Cuantro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bookmarkStart w:id="57"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p>
      <w:r>
        <w:br w:type="page"/>
      </w:r>
    </w:p>
    <w:p>
      <w:r>
        <w:pict>
          <v:rect style="width:0;height:1.5pt" o:hralign="center" o:hrstd="t" o:hr="t"/>
        </w:pict>
      </w:r>
    </w:p>
    <w:bookmarkEnd w:id="57"/>
    <w:bookmarkEnd w:id="58"/>
    <w:bookmarkEnd w:id="59"/>
    <w:bookmarkStart w:id="72" w:name="organización-cambios-arquitectura"/>
    <w:p>
      <w:pPr>
        <w:pStyle w:val="Heading1"/>
      </w:pPr>
      <w:r>
        <w:t xml:space="preserve">Organización cambios arquitectura</w:t>
      </w:r>
    </w:p>
    <w:bookmarkStart w:id="65" w:name="organización.-1n.-mapa-producto"/>
    <w:p>
      <w:pPr>
        <w:pStyle w:val="Heading2"/>
      </w:pPr>
      <w:r>
        <w:t xml:space="preserve">Organización. 1n. Mapa producto</w:t>
      </w:r>
    </w:p>
    <w:bookmarkStart w:id="0" w:name="fig:Organización.1n.Mapaproducto"/>
    <w:p>
      <w:pPr>
        <w:pStyle w:val="CaptionedFigure"/>
      </w:pPr>
      <w:bookmarkStart w:id="63" w:name="fig:Organización.1n.Mapaproducto"/>
      <w:r>
        <w:drawing>
          <wp:inline>
            <wp:extent cx="9525" cy="14491"/>
            <wp:effectExtent b="0" l="0" r="0" t="0"/>
            <wp:docPr descr="Figure 7: Diagram: Organización. 1n. Mapa producto" title="" id="61" name="Picture"/>
            <a:graphic>
              <a:graphicData uri="http://schemas.openxmlformats.org/drawingml/2006/picture">
                <pic:pic>
                  <pic:nvPicPr>
                    <pic:cNvPr descr="images/Organización.1n.Mapaproducto.png" id="62" name="Picture"/>
                    <pic:cNvPicPr>
                      <a:picLocks noChangeArrowheads="1" noChangeAspect="1"/>
                    </pic:cNvPicPr>
                  </pic:nvPicPr>
                  <pic:blipFill>
                    <a:blip r:embed="rId60"/>
                    <a:stretch>
                      <a:fillRect/>
                    </a:stretch>
                  </pic:blipFill>
                  <pic:spPr bwMode="auto">
                    <a:xfrm>
                      <a:off x="0" y="0"/>
                      <a:ext cx="9525" cy="14491"/>
                    </a:xfrm>
                    <a:prstGeom prst="rect">
                      <a:avLst/>
                    </a:prstGeom>
                    <a:noFill/>
                    <a:ln w="9525">
                      <a:noFill/>
                      <a:headEnd/>
                      <a:tailEnd/>
                    </a:ln>
                  </pic:spPr>
                </pic:pic>
              </a:graphicData>
            </a:graphic>
          </wp:inline>
        </w:drawing>
      </w:r>
      <w:bookmarkEnd w:id="63"/>
    </w:p>
    <w:p>
      <w:pPr>
        <w:pStyle w:val="ImageCaption"/>
      </w:pPr>
      <w:r>
        <w:t xml:space="preserve">Figure 7: Diagram: Organización. 1n. Mapa producto</w:t>
      </w:r>
    </w:p>
    <w:bookmarkEnd w:id="0"/>
    <w:bookmarkStart w:id="64"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64"/>
    <w:bookmarkEnd w:id="65"/>
    <w:bookmarkStart w:id="71"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69" w:name="Xffcdf0af2a7b819e2b9f55117dd94a813fe606e"/>
      <w:r>
        <w:drawing>
          <wp:inline>
            <wp:extent cx="5943600" cy="4406608"/>
            <wp:effectExtent b="0" l="0" r="0" t="0"/>
            <wp:docPr descr="Figure 8: Diagram: Organización. 1n.1. Mapa producto PGN. Relatoría" title="" id="67" name="Picture"/>
            <a:graphic>
              <a:graphicData uri="http://schemas.openxmlformats.org/drawingml/2006/picture">
                <pic:pic>
                  <pic:nvPicPr>
                    <pic:cNvPr descr="images/Organización.1n.1.MapaproductoPGN.Relatoría.png" id="68" name="Picture"/>
                    <pic:cNvPicPr>
                      <a:picLocks noChangeArrowheads="1" noChangeAspect="1"/>
                    </pic:cNvPicPr>
                  </pic:nvPicPr>
                  <pic:blipFill>
                    <a:blip r:embed="rId66"/>
                    <a:stretch>
                      <a:fillRect/>
                    </a:stretch>
                  </pic:blipFill>
                  <pic:spPr bwMode="auto">
                    <a:xfrm>
                      <a:off x="0" y="0"/>
                      <a:ext cx="5943600" cy="4406608"/>
                    </a:xfrm>
                    <a:prstGeom prst="rect">
                      <a:avLst/>
                    </a:prstGeom>
                    <a:noFill/>
                    <a:ln w="9525">
                      <a:noFill/>
                      <a:headEnd/>
                      <a:tailEnd/>
                    </a:ln>
                  </pic:spPr>
                </pic:pic>
              </a:graphicData>
            </a:graphic>
          </wp:inline>
        </w:drawing>
      </w:r>
      <w:bookmarkEnd w:id="69"/>
    </w:p>
    <w:p>
      <w:pPr>
        <w:pStyle w:val="ImageCaption"/>
      </w:pPr>
      <w:r>
        <w:t xml:space="preserve">Figure 8: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70"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Sun Sep 10 2023 21:02:22 GMT-0500 (COT)</w:t>
      </w:r>
    </w:p>
    <w:bookmarkEnd w:id="70"/>
    <w:bookmarkEnd w:id="71"/>
    <w:bookmarkEnd w:id="7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188A7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186860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754B6A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C6EFDC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632732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02CBEB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25C1EC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3D298A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178FD2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1B8A3F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55C244EE"/>
    <w:multiLevelType w:val="hybridMultilevel"/>
    <w:tmpl w:val="33F497CC"/>
    <w:lvl w:ilvl="0" w:tplc="AD56300C">
      <w:start w:val="1"/>
      <w:numFmt w:val="upperLetter"/>
      <w:pStyle w:val="Heading2"/>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0"/>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1"/>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486AA6"/>
    <w:pPr>
      <w:keepNext/>
      <w:keepLines/>
      <w:jc w:val="center"/>
      <w:outlineLvl w:val="0"/>
    </w:pPr>
    <w:rPr>
      <w:rFonts w:cstheme="majorBidi" w:eastAsiaTheme="majorEastAsia"/>
      <w:b/>
      <w:bCs/>
      <w:caps/>
      <w:szCs w:val="32"/>
    </w:rPr>
  </w:style>
  <w:style w:styleId="Heading2" w:type="paragraph">
    <w:name w:val="heading 2"/>
    <w:basedOn w:val="Normal"/>
    <w:next w:val="BodyText"/>
    <w:autoRedefine/>
    <w:uiPriority w:val="9"/>
    <w:rsid w:val="00486AA6"/>
    <w:pPr>
      <w:keepNext/>
      <w:keepLines/>
      <w:numPr>
        <w:numId w:val="12"/>
      </w:numPr>
      <w:ind w:left="360"/>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ind w:left="360"/>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ind w:left="360"/>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ind w:left="360"/>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ind w:left="360"/>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ind w:left="360"/>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ind w:left="360"/>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ind w:left="360"/>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3" Target="media/rId53.png" /><Relationship Type="http://schemas.openxmlformats.org/officeDocument/2006/relationships/image" Id="rId66" Target="media/rId66.png" /><Relationship Type="http://schemas.openxmlformats.org/officeDocument/2006/relationships/image" Id="rId60" Target="media/rId60.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2023-09-11T02:05:45Z</dcterms:created>
  <dcterms:modified xsi:type="dcterms:W3CDTF">2023-09-11T02:05:45Z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