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8.png" ContentType="image/png"/>
  <Override PartName="/word/media/rId170.png" ContentType="image/png"/>
  <Override PartName="/word/media/rId176.png" ContentType="image/png"/>
  <Override PartName="/word/media/rId182.png" ContentType="image/png"/>
  <Override PartName="/word/media/rId21.png" ContentType="image/png"/>
  <Override PartName="/word/media/rId28.png" ContentType="image/png"/>
  <Override PartName="/word/media/rId34.png" ContentType="image/png"/>
  <Override PartName="/word/media/rId41.png" ContentType="image/png"/>
  <Override PartName="/word/media/rId64.png" ContentType="image/png"/>
  <Override PartName="/word/media/rId71.png" ContentType="image/png"/>
  <Override PartName="/word/media/rId78.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48.png" ContentType="image/png"/>
  <Override PartName="/word/media/rId55.png" ContentType="image/png"/>
  <Override PartName="/word/media/rId116.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riesgos-técnicos">
        <w:r>
          <w:rPr>
            <w:rStyle w:val="Hyperlink"/>
          </w:rPr>
          <w:t xml:space="preserve">Riesgos Técnicos</w:t>
        </w:r>
      </w:hyperlink>
    </w:p>
    <w:p>
      <w:pPr>
        <w:numPr>
          <w:ilvl w:val="1"/>
          <w:numId w:val="1003"/>
        </w:numPr>
        <w:pStyle w:val="Compact"/>
      </w:pPr>
      <w:hyperlink w:anchor="riesgos.1.-migración-funcional">
        <w:r>
          <w:rPr>
            <w:rStyle w:val="Hyperlink"/>
          </w:rPr>
          <w:t xml:space="preserve">Riesgos.1. Migración funcional</w:t>
        </w:r>
      </w:hyperlink>
    </w:p>
    <w:p>
      <w:pPr>
        <w:numPr>
          <w:ilvl w:val="1"/>
          <w:numId w:val="1003"/>
        </w:numPr>
        <w:pStyle w:val="Compact"/>
      </w:pPr>
      <w:hyperlink w:anchor="riesgos.2.-modelo-riesgo-rsg10">
        <w:r>
          <w:rPr>
            <w:rStyle w:val="Hyperlink"/>
          </w:rPr>
          <w:t xml:space="preserve">Riesgos.2. Modelo Riesgo RSG10</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migracion.1b.1.-sui-módulos-componentes">
        <w:r>
          <w:rPr>
            <w:rStyle w:val="Hyperlink"/>
          </w:rPr>
          <w:t xml:space="preserve">Migracion.1b.1. SUI Módulos Componentes</w:t>
        </w:r>
      </w:hyperlink>
    </w:p>
    <w:p>
      <w:pPr>
        <w:numPr>
          <w:ilvl w:val="1"/>
          <w:numId w:val="1004"/>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41d75eeb32073b8941fb782816a746d44007ab9">
        <w:r>
          <w:rPr>
            <w:rStyle w:val="Hyperlink"/>
          </w:rPr>
          <w:t xml:space="preserve">Organización. 1n.1.b. Mapa producto PGN. Relatoría</w:t>
        </w:r>
      </w:hyperlink>
    </w:p>
    <w:p>
      <w:pPr>
        <w:numPr>
          <w:ilvl w:val="1"/>
          <w:numId w:val="1005"/>
        </w:numPr>
        <w:pStyle w:val="Compact"/>
      </w:pPr>
      <w:hyperlink w:anchor="X77eeae52cdb9a163e5d64ec38732a647f5ed87b">
        <w:r>
          <w:rPr>
            <w:rStyle w:val="Hyperlink"/>
          </w:rPr>
          <w:t xml:space="preserve">Organización. 2n.1a. Mapa producto PGN. Conciliacion</w:t>
        </w:r>
      </w:hyperlink>
    </w:p>
    <w:p>
      <w:pPr>
        <w:numPr>
          <w:ilvl w:val="1"/>
          <w:numId w:val="1005"/>
        </w:numPr>
        <w:pStyle w:val="Compact"/>
      </w:pPr>
      <w:hyperlink w:anchor="X7fb2109b67dc1249864a78b191ce4b8a389267d">
        <w:r>
          <w:rPr>
            <w:rStyle w:val="Hyperlink"/>
          </w:rPr>
          <w:t xml:space="preserve">Organización. 4n.1. Mapa producto PGN. Estratego</w:t>
        </w:r>
      </w:hyperlink>
    </w:p>
    <w:p>
      <w:pPr>
        <w:numPr>
          <w:ilvl w:val="1"/>
          <w:numId w:val="1005"/>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Seguridad.1. Requerimientos</w:t>
        </w:r>
      </w:hyperlink>
    </w:p>
    <w:p>
      <w:pPr>
        <w:numPr>
          <w:ilvl w:val="1"/>
          <w:numId w:val="1006"/>
        </w:numPr>
        <w:pStyle w:val="Compact"/>
      </w:pPr>
      <w:hyperlink w:anchor="seguridad.-linebase.2.-portal">
        <w:r>
          <w:rPr>
            <w:rStyle w:val="Hyperlink"/>
          </w:rPr>
          <w:t xml:space="preserve">Seguridad. Linebase.2. Portal</w:t>
        </w:r>
      </w:hyperlink>
    </w:p>
    <w:p>
      <w:pPr>
        <w:numPr>
          <w:ilvl w:val="0"/>
          <w:numId w:val="1001"/>
        </w:numPr>
        <w:pStyle w:val="Compact"/>
      </w:pPr>
      <w:hyperlink w:anchor="análisis-de-productos">
        <w:r>
          <w:rPr>
            <w:rStyle w:val="Hyperlink"/>
          </w:rPr>
          <w:t xml:space="preserve">Análisis de Productos</w:t>
        </w:r>
      </w:hyperlink>
    </w:p>
    <w:p>
      <w:pPr>
        <w:numPr>
          <w:ilvl w:val="1"/>
          <w:numId w:val="1007"/>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08"/>
        </w:numPr>
        <w:pStyle w:val="Compact"/>
      </w:pPr>
      <w:hyperlink w:anchor="seguridad.3.-autenticación">
        <w:r>
          <w:rPr>
            <w:rStyle w:val="Hyperlink"/>
          </w:rPr>
          <w:t xml:space="preserve">Seguridad.3. Autenticación</w:t>
        </w:r>
      </w:hyperlink>
    </w:p>
    <w:p>
      <w:pPr>
        <w:numPr>
          <w:ilvl w:val="1"/>
          <w:numId w:val="1008"/>
        </w:numPr>
        <w:pStyle w:val="Compact"/>
      </w:pPr>
      <w:hyperlink w:anchor="seguridad.4.-autorización">
        <w:r>
          <w:rPr>
            <w:rStyle w:val="Hyperlink"/>
          </w:rPr>
          <w:t xml:space="preserve">Seguridad.4. Autorización</w:t>
        </w:r>
      </w:hyperlink>
    </w:p>
    <w:p>
      <w:pPr>
        <w:numPr>
          <w:ilvl w:val="1"/>
          <w:numId w:val="1008"/>
        </w:numPr>
        <w:pStyle w:val="Compact"/>
      </w:pPr>
      <w:hyperlink w:anchor="seguridad.5.desarrollo-seguro">
        <w:r>
          <w:rPr>
            <w:rStyle w:val="Hyperlink"/>
          </w:rPr>
          <w:t xml:space="preserve">Seguridad.5.Desarrollo Seguro</w:t>
        </w:r>
      </w:hyperlink>
    </w:p>
    <w:p>
      <w:pPr>
        <w:numPr>
          <w:ilvl w:val="1"/>
          <w:numId w:val="1008"/>
        </w:numPr>
        <w:pStyle w:val="Compact"/>
      </w:pPr>
      <w:hyperlink w:anchor="seguridad.-6.-auditoría">
        <w:r>
          <w:rPr>
            <w:rStyle w:val="Hyperlink"/>
          </w:rPr>
          <w:t xml:space="preserve">Seguridad. 6. Auditoría</w:t>
        </w:r>
      </w:hyperlink>
    </w:p>
    <w:p>
      <w:pPr>
        <w:numPr>
          <w:ilvl w:val="1"/>
          <w:numId w:val="1008"/>
        </w:numPr>
        <w:pStyle w:val="Compact"/>
      </w:pPr>
      <w:hyperlink w:anchor="seguridad.-7.-owasp">
        <w:r>
          <w:rPr>
            <w:rStyle w:val="Hyperlink"/>
          </w:rPr>
          <w:t xml:space="preserve">Seguridad. 7. Owasp</w:t>
        </w:r>
      </w:hyperlink>
    </w:p>
    <w:p>
      <w:pPr>
        <w:numPr>
          <w:ilvl w:val="0"/>
          <w:numId w:val="1001"/>
        </w:numPr>
        <w:pStyle w:val="Compact"/>
      </w:pPr>
      <w:hyperlink w:anchor="entregables-y-conclusiones">
        <w:r>
          <w:rPr>
            <w:rStyle w:val="Hyperlink"/>
          </w:rPr>
          <w:t xml:space="preserve">Entregables y Conclusiones</w:t>
        </w:r>
      </w:hyperlink>
    </w:p>
    <w:p>
      <w:pPr>
        <w:numPr>
          <w:ilvl w:val="1"/>
          <w:numId w:val="1009"/>
        </w:numPr>
        <w:pStyle w:val="Compact"/>
      </w:pPr>
      <w:hyperlink w:anchor="Xb6e67a7398fa11f1d5962805af22dc5a15a929d">
        <w:r>
          <w:rPr>
            <w:rStyle w:val="Hyperlink"/>
          </w:rPr>
          <w:t xml:space="preserve">Arquitectura. 2. Escalabilidad. Funcional</w:t>
        </w:r>
      </w:hyperlink>
    </w:p>
    <w:p>
      <w:pPr>
        <w:numPr>
          <w:ilvl w:val="1"/>
          <w:numId w:val="1009"/>
        </w:numPr>
        <w:pStyle w:val="Compact"/>
      </w:pPr>
      <w:hyperlink w:anchor="arquitectura.-2a.-escalabilidad.-física">
        <w:r>
          <w:rPr>
            <w:rStyle w:val="Hyperlink"/>
          </w:rPr>
          <w:t xml:space="preserve">Arquitectura. 2a. Escalabilidad. Física</w:t>
        </w:r>
      </w:hyperlink>
    </w:p>
    <w:p>
      <w:pPr>
        <w:numPr>
          <w:ilvl w:val="1"/>
          <w:numId w:val="1009"/>
        </w:numPr>
        <w:pStyle w:val="Compact"/>
      </w:pPr>
      <w:hyperlink w:anchor="arquitectura.-3.-decisiones">
        <w:r>
          <w:rPr>
            <w:rStyle w:val="Hyperlink"/>
          </w:rPr>
          <w:t xml:space="preserve">Arquitectura. 3. Decisiones</w:t>
        </w:r>
      </w:hyperlink>
    </w:p>
    <w:p>
      <w:pPr>
        <w:numPr>
          <w:ilvl w:val="1"/>
          <w:numId w:val="1009"/>
        </w:numPr>
        <w:pStyle w:val="Compact"/>
      </w:pPr>
      <w:hyperlink w:anchor="arquitectura.-1.-dev-docs">
        <w:r>
          <w:rPr>
            <w:rStyle w:val="Hyperlink"/>
          </w:rPr>
          <w:t xml:space="preserve">Arquitectura. 1. Dev Docs</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3" w:name="riesgos-técnicos"/>
    <w:p>
      <w:pPr>
        <w:pStyle w:val="Heading1"/>
      </w:pPr>
      <w:r>
        <w:t xml:space="preserve">Riesgos Técnicos</w:t>
      </w:r>
    </w:p>
    <w:bookmarkStart w:id="54" w:name="riesgos.1.-migración-funcional"/>
    <w:p>
      <w:pPr>
        <w:pStyle w:val="Heading2"/>
      </w:pPr>
      <w:r>
        <w:t xml:space="preserve">Riesgos.1. Migración funcional</w:t>
      </w:r>
    </w:p>
    <w:bookmarkStart w:id="0" w:name="fig:Riesgos.1.Migraciónfuncional"/>
    <w:p>
      <w:pPr>
        <w:pStyle w:val="CaptionedFigure"/>
      </w:pPr>
      <w:bookmarkStart w:id="51" w:name="fig:Riesgos.1.Migraciónfuncional"/>
      <w:r>
        <w:drawing>
          <wp:inline>
            <wp:extent cx="5943600" cy="3110905"/>
            <wp:effectExtent b="0" l="0" r="0" t="0"/>
            <wp:docPr descr="Figure 5: Vista. Riesgos.1. Migración funcional" title="" id="49" name="Picture"/>
            <a:graphic>
              <a:graphicData uri="http://schemas.openxmlformats.org/drawingml/2006/picture">
                <pic:pic>
                  <pic:nvPicPr>
                    <pic:cNvPr descr="images/Riesgos.1.Migraciónfuncional.png" id="50" name="Picture"/>
                    <pic:cNvPicPr>
                      <a:picLocks noChangeArrowheads="1" noChangeAspect="1"/>
                    </pic:cNvPicPr>
                  </pic:nvPicPr>
                  <pic:blipFill>
                    <a:blip r:embed="rId48"/>
                    <a:stretch>
                      <a:fillRect/>
                    </a:stretch>
                  </pic:blipFill>
                  <pic:spPr bwMode="auto">
                    <a:xfrm>
                      <a:off x="0" y="0"/>
                      <a:ext cx="5943600" cy="3110905"/>
                    </a:xfrm>
                    <a:prstGeom prst="rect">
                      <a:avLst/>
                    </a:prstGeom>
                    <a:noFill/>
                    <a:ln w="9525">
                      <a:noFill/>
                      <a:headEnd/>
                      <a:tailEnd/>
                    </a:ln>
                  </pic:spPr>
                </pic:pic>
              </a:graphicData>
            </a:graphic>
          </wp:inline>
        </w:drawing>
      </w:r>
      <w:bookmarkEnd w:id="51"/>
    </w:p>
    <w:p>
      <w:pPr>
        <w:pStyle w:val="ImageCaption"/>
      </w:pPr>
      <w:r>
        <w:t xml:space="preserve">Figure 5: Vista.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Estratego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p>
      <w:pPr>
        <w:numPr>
          <w:ilvl w:val="0"/>
          <w:numId w:val="1015"/>
        </w:numPr>
        <w:pStyle w:val="Compact"/>
      </w:pPr>
      <w:r>
        <w:t xml:space="preserve">RSG11. Estrategias de Migración de datos</w:t>
      </w:r>
    </w:p>
    <w:p>
      <w:pPr>
        <w:numPr>
          <w:ilvl w:val="0"/>
          <w:numId w:val="1015"/>
        </w:numPr>
        <w:pStyle w:val="Compact"/>
      </w:pPr>
      <w:r>
        <w:t xml:space="preserve">RSG12. Arquitectura de almacenamiento y distribución de datos Sistema Único de Información (SUI)</w:t>
      </w:r>
    </w:p>
    <w:p>
      <w:pPr>
        <w:numPr>
          <w:ilvl w:val="0"/>
          <w:numId w:val="1015"/>
        </w:numPr>
        <w:pStyle w:val="Compact"/>
      </w:pPr>
      <w:r>
        <w:t xml:space="preserve">RSG13. Sistema de autenticación híbrido</w:t>
      </w:r>
    </w:p>
    <w:bookmarkStart w:id="52"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3"/>
    <w:bookmarkEnd w:id="54"/>
    <w:bookmarkStart w:id="62" w:name="riesgos.2.-modelo-riesgo-rsg10"/>
    <w:p>
      <w:pPr>
        <w:pStyle w:val="Heading2"/>
      </w:pPr>
      <w:r>
        <w:t xml:space="preserve">Riesgos.2. Modelo Riesgo RSG10</w:t>
      </w:r>
    </w:p>
    <w:bookmarkStart w:id="0" w:name="fig:Riesgos.2.ModeloRiesgoRSG10"/>
    <w:p>
      <w:pPr>
        <w:pStyle w:val="CaptionedFigure"/>
      </w:pPr>
      <w:bookmarkStart w:id="58" w:name="fig:Riesgos.2.ModeloRiesgoRSG10"/>
      <w:r>
        <w:drawing>
          <wp:inline>
            <wp:extent cx="5943600" cy="6154287"/>
            <wp:effectExtent b="0" l="0" r="0" t="0"/>
            <wp:docPr descr="Figure 6: Vista. Riesgos.2. Modelo Riesgo RSG10" title="" id="56" name="Picture"/>
            <a:graphic>
              <a:graphicData uri="http://schemas.openxmlformats.org/drawingml/2006/picture">
                <pic:pic>
                  <pic:nvPicPr>
                    <pic:cNvPr descr="images/Riesgos.2.ModeloRiesgoRSG10.png" id="57" name="Picture"/>
                    <pic:cNvPicPr>
                      <a:picLocks noChangeArrowheads="1" noChangeAspect="1"/>
                    </pic:cNvPicPr>
                  </pic:nvPicPr>
                  <pic:blipFill>
                    <a:blip r:embed="rId55"/>
                    <a:stretch>
                      <a:fillRect/>
                    </a:stretch>
                  </pic:blipFill>
                  <pic:spPr bwMode="auto">
                    <a:xfrm>
                      <a:off x="0" y="0"/>
                      <a:ext cx="5943600" cy="6154287"/>
                    </a:xfrm>
                    <a:prstGeom prst="rect">
                      <a:avLst/>
                    </a:prstGeom>
                    <a:noFill/>
                    <a:ln w="9525">
                      <a:noFill/>
                      <a:headEnd/>
                      <a:tailEnd/>
                    </a:ln>
                  </pic:spPr>
                </pic:pic>
              </a:graphicData>
            </a:graphic>
          </wp:inline>
        </w:drawing>
      </w:r>
      <w:bookmarkEnd w:id="58"/>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0" w:name="valoración-del-riesgo"/>
    <w:p>
      <w:pPr>
        <w:pStyle w:val="Heading3"/>
      </w:pPr>
      <w:r>
        <w:t xml:space="preserve">Valoración del Riesgo</w:t>
      </w:r>
    </w:p>
    <w:bookmarkStart w:id="0" w:name="tbl:requisito1-id"/>
    <w:bookmarkStart w:id="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59"/>
    <w:bookmarkEnd w:id="0"/>
    <w:bookmarkEnd w:id="60"/>
    <w:bookmarkStart w:id="6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ui-contexto-módulo"/>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719670"/>
            <wp:effectExtent b="0" l="0" r="0" t="0"/>
            <wp:docPr descr="Figure 7: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64"/>
                    <a:stretch>
                      <a:fillRect/>
                    </a:stretch>
                  </pic:blipFill>
                  <pic:spPr bwMode="auto">
                    <a:xfrm>
                      <a:off x="0" y="0"/>
                      <a:ext cx="5943600" cy="3719670"/>
                    </a:xfrm>
                    <a:prstGeom prst="rect">
                      <a:avLst/>
                    </a:prstGeom>
                    <a:noFill/>
                    <a:ln w="9525">
                      <a:noFill/>
                      <a:headEnd/>
                      <a:tailEnd/>
                    </a:ln>
                  </pic:spPr>
                </pic:pic>
              </a:graphicData>
            </a:graphic>
          </wp:inline>
        </w:drawing>
      </w:r>
      <w:bookmarkEnd w:id="67"/>
    </w:p>
    <w:p>
      <w:pPr>
        <w:pStyle w:val="ImageCaption"/>
      </w:pPr>
      <w:r>
        <w:t xml:space="preserve">Figure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ui-módulos-componentes"/>
    <w:p>
      <w:pPr>
        <w:pStyle w:val="Heading2"/>
      </w:pPr>
      <w:r>
        <w:t xml:space="preserve">Migracion.1b.1. SUI Módulos Componentes</w:t>
      </w:r>
    </w:p>
    <w:bookmarkStart w:id="0" w:name="fig:Migracion.1b.1.SUIMódulosComponentes"/>
    <w:p>
      <w:pPr>
        <w:pStyle w:val="CaptionedFigure"/>
      </w:pPr>
      <w:bookmarkStart w:id="74" w:name="fig:Migracion.1b.1.SUIMódulosComponentes"/>
      <w:r>
        <w:drawing>
          <wp:inline>
            <wp:extent cx="5943600" cy="4213746"/>
            <wp:effectExtent b="0" l="0" r="0" t="0"/>
            <wp:docPr descr="Figure 8: Vista. Migracion.1b.1. SUI Módulos Componentes" title="" id="72" name="Picture"/>
            <a:graphic>
              <a:graphicData uri="http://schemas.openxmlformats.org/drawingml/2006/picture">
                <pic:pic>
                  <pic:nvPicPr>
                    <pic:cNvPr descr="images/Migracion.1b.1.SUI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Figure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19"/>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0"/>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1" w:name="X9f99330219173d79e1a84610d7ff1f791521a84"/>
      <w:r>
        <w:drawing>
          <wp:inline>
            <wp:extent cx="5943600" cy="4879813"/>
            <wp:effectExtent b="0" l="0" r="0" t="0"/>
            <wp:docPr descr="Figure 9: Vista. Migracion.1c.SUI Módulos Colaboración Aplicaciones" title="" id="79" name="Picture"/>
            <a:graphic>
              <a:graphicData uri="http://schemas.openxmlformats.org/drawingml/2006/picture">
                <pic:pic>
                  <pic:nvPicPr>
                    <pic:cNvPr descr="images/Migracion.1c.SUI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Figure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Figure 10: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Figure 10: Vista. Organización. 1n. Mapa producto</w:t>
      </w:r>
    </w:p>
    <w:bookmarkEnd w:id="0"/>
    <w:bookmarkStart w:id="8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Figure 11: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Figure 11: Vista. Organización. 1n.1.b. Mapa producto PGN. Relatoría</w:t>
      </w:r>
    </w:p>
    <w:bookmarkEnd w:id="0"/>
    <w:bookmarkStart w:id="9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Figure 12: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Figure 12: Vista. Organización. 2n.1a. Mapa producto PGN. Conciliacion</w:t>
      </w:r>
    </w:p>
    <w:bookmarkEnd w:id="0"/>
    <w:bookmarkStart w:id="10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Figure 13: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Figure 13: Vista. Organización. 4n.1. Mapa producto PGN. Estratego</w:t>
      </w:r>
    </w:p>
    <w:bookmarkEnd w:id="0"/>
    <w:bookmarkStart w:id="10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Figure 14: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Figure 14: Vista. Organización. 3n.1. Mapa producto PGN. SIAF</w:t>
      </w:r>
    </w:p>
    <w:bookmarkEnd w:id="0"/>
    <w:bookmarkStart w:id="11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Figure 15: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Figure 15: Vista. Seguridad.1. Requerimientos</w:t>
      </w:r>
    </w:p>
    <w:bookmarkEnd w:id="0"/>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 Portal</w:t>
      </w:r>
    </w:p>
    <w:bookmarkStart w:id="0" w:name="fig:Seguridad.Linebase.2.Portal"/>
    <w:p>
      <w:pPr>
        <w:pStyle w:val="CaptionedFigure"/>
      </w:pPr>
      <w:bookmarkStart w:id="125" w:name="fig:Seguridad.Linebase.2.Portal"/>
      <w:r>
        <w:drawing>
          <wp:inline>
            <wp:extent cx="5943600" cy="2255821"/>
            <wp:effectExtent b="0" l="0" r="0" t="0"/>
            <wp:docPr descr="Figure 16: Vista. Seguridad. Linebase.2. 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Figure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1"/>
        </w:numPr>
        <w:pStyle w:val="Compact"/>
      </w:pPr>
      <w:r>
        <w:t xml:space="preserve">Servidores Web Front End</w:t>
      </w:r>
    </w:p>
    <w:p>
      <w:pPr>
        <w:numPr>
          <w:ilvl w:val="0"/>
          <w:numId w:val="1021"/>
        </w:numPr>
        <w:pStyle w:val="Compact"/>
      </w:pPr>
      <w:r>
        <w:t xml:space="preserve">Servidores de Aplicaciones</w:t>
      </w:r>
    </w:p>
    <w:p>
      <w:pPr>
        <w:numPr>
          <w:ilvl w:val="0"/>
          <w:numId w:val="1021"/>
        </w:numPr>
        <w:pStyle w:val="Compact"/>
      </w:pPr>
      <w:r>
        <w:t xml:space="preserve">Servidores de SQL Server</w:t>
      </w:r>
    </w:p>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Figure 17: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Figure 17: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requerimientos-de-seguridad"/>
    <w:p>
      <w:pPr>
        <w:pStyle w:val="Heading1"/>
      </w:pPr>
      <w:r>
        <w:t xml:space="preserve">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154993"/>
            <wp:effectExtent b="0" l="0" r="0" t="0"/>
            <wp:docPr descr="Figure 18: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Figure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Figure 19: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Figure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 Seguro</w:t>
      </w:r>
    </w:p>
    <w:bookmarkStart w:id="0" w:name="fig:Seguridad.5.DesarrolloSeguro"/>
    <w:p>
      <w:pPr>
        <w:pStyle w:val="CaptionedFigure"/>
      </w:pPr>
      <w:bookmarkStart w:id="154" w:name="fig:Seguridad.5.DesarrolloSeguro"/>
      <w:r>
        <w:drawing>
          <wp:inline>
            <wp:extent cx="5943600" cy="3740566"/>
            <wp:effectExtent b="0" l="0" r="0" t="0"/>
            <wp:docPr descr="Figure 20: Vista. Seguridad.5.Desarrollo 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Figure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Figure 21: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Figure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Figure 22: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Figure 22: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6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95" w:name="entregables-y-conclusiones"/>
    <w:p>
      <w:pPr>
        <w:pStyle w:val="Heading1"/>
      </w:pPr>
      <w:r>
        <w:t xml:space="preserve">Entregables y Conclusiones</w:t>
      </w:r>
    </w:p>
    <w:bookmarkStart w:id="175" w:name="Xb6e67a7398fa11f1d5962805af22dc5a15a929d"/>
    <w:p>
      <w:pPr>
        <w:pStyle w:val="Heading2"/>
      </w:pPr>
      <w:r>
        <w:t xml:space="preserve">Arquitectura. 2. Escalabilidad. Funcional</w:t>
      </w:r>
    </w:p>
    <w:bookmarkStart w:id="0" w:name="fig:Arquitectura.2.Escalabilidad.Funcional"/>
    <w:p>
      <w:pPr>
        <w:pStyle w:val="CaptionedFigure"/>
      </w:pPr>
      <w:bookmarkStart w:id="173" w:name="X3d7264161b84c084fef3fb88cb238d2314e1f4d"/>
      <w:r>
        <w:drawing>
          <wp:inline>
            <wp:extent cx="5943600" cy="3439762"/>
            <wp:effectExtent b="0" l="0" r="0" t="0"/>
            <wp:docPr descr="Figure 23: Vista. Arquitectura. 2. Escalabilidad. Funcional" title="" id="171" name="Picture"/>
            <a:graphic>
              <a:graphicData uri="http://schemas.openxmlformats.org/drawingml/2006/picture">
                <pic:pic>
                  <pic:nvPicPr>
                    <pic:cNvPr descr="images/Arquitectura.2.Escalabilidad.Funcional.png" id="172" name="Picture"/>
                    <pic:cNvPicPr>
                      <a:picLocks noChangeArrowheads="1" noChangeAspect="1"/>
                    </pic:cNvPicPr>
                  </pic:nvPicPr>
                  <pic:blipFill>
                    <a:blip r:embed="rId170"/>
                    <a:stretch>
                      <a:fillRect/>
                    </a:stretch>
                  </pic:blipFill>
                  <pic:spPr bwMode="auto">
                    <a:xfrm>
                      <a:off x="0" y="0"/>
                      <a:ext cx="5943600" cy="3439762"/>
                    </a:xfrm>
                    <a:prstGeom prst="rect">
                      <a:avLst/>
                    </a:prstGeom>
                    <a:noFill/>
                    <a:ln w="9525">
                      <a:noFill/>
                      <a:headEnd/>
                      <a:tailEnd/>
                    </a:ln>
                  </pic:spPr>
                </pic:pic>
              </a:graphicData>
            </a:graphic>
          </wp:inline>
        </w:drawing>
      </w:r>
      <w:bookmarkEnd w:id="173"/>
    </w:p>
    <w:p>
      <w:pPr>
        <w:pStyle w:val="ImageCaption"/>
      </w:pPr>
      <w:r>
        <w:t xml:space="preserve">Figure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7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74"/>
    <w:bookmarkEnd w:id="175"/>
    <w:bookmarkStart w:id="181" w:name="arquitectura.-2a.-escalabilidad.-física"/>
    <w:p>
      <w:pPr>
        <w:pStyle w:val="Heading2"/>
      </w:pPr>
      <w:r>
        <w:t xml:space="preserve">Arquitectura. 2a. Escalabilidad. Física</w:t>
      </w:r>
    </w:p>
    <w:bookmarkStart w:id="0" w:name="fig:Arquitectura.2a.Escalabilidad.Física"/>
    <w:p>
      <w:pPr>
        <w:pStyle w:val="CaptionedFigure"/>
      </w:pPr>
      <w:bookmarkStart w:id="179" w:name="fig:Arquitectura.2a.Escalabilidad.Física"/>
      <w:r>
        <w:drawing>
          <wp:inline>
            <wp:extent cx="5943600" cy="5022988"/>
            <wp:effectExtent b="0" l="0" r="0" t="0"/>
            <wp:docPr descr="Figure 24: Vista. Arquitectura. 2a. Escalabilidad. Física" title="" id="177" name="Picture"/>
            <a:graphic>
              <a:graphicData uri="http://schemas.openxmlformats.org/drawingml/2006/picture">
                <pic:pic>
                  <pic:nvPicPr>
                    <pic:cNvPr descr="images/Arquitectura.2a.Escalabilidad.Física.png" id="178" name="Picture"/>
                    <pic:cNvPicPr>
                      <a:picLocks noChangeArrowheads="1" noChangeAspect="1"/>
                    </pic:cNvPicPr>
                  </pic:nvPicPr>
                  <pic:blipFill>
                    <a:blip r:embed="rId176"/>
                    <a:stretch>
                      <a:fillRect/>
                    </a:stretch>
                  </pic:blipFill>
                  <pic:spPr bwMode="auto">
                    <a:xfrm>
                      <a:off x="0" y="0"/>
                      <a:ext cx="5943600" cy="5022988"/>
                    </a:xfrm>
                    <a:prstGeom prst="rect">
                      <a:avLst/>
                    </a:prstGeom>
                    <a:noFill/>
                    <a:ln w="9525">
                      <a:noFill/>
                      <a:headEnd/>
                      <a:tailEnd/>
                    </a:ln>
                  </pic:spPr>
                </pic:pic>
              </a:graphicData>
            </a:graphic>
          </wp:inline>
        </w:drawing>
      </w:r>
      <w:bookmarkEnd w:id="179"/>
    </w:p>
    <w:p>
      <w:pPr>
        <w:pStyle w:val="ImageCaption"/>
      </w:pPr>
      <w:r>
        <w:t xml:space="preserve">Figure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18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80"/>
    <w:bookmarkEnd w:id="181"/>
    <w:bookmarkStart w:id="187" w:name="arquitectura.-3.-decisiones"/>
    <w:p>
      <w:pPr>
        <w:pStyle w:val="Heading2"/>
      </w:pPr>
      <w:r>
        <w:t xml:space="preserve">Arquitectura. 3. Decisiones</w:t>
      </w:r>
    </w:p>
    <w:bookmarkStart w:id="0" w:name="fig:Arquitectura.3.Decisiones"/>
    <w:p>
      <w:pPr>
        <w:pStyle w:val="CaptionedFigure"/>
      </w:pPr>
      <w:bookmarkStart w:id="185" w:name="fig:Arquitectura.3.Decisiones"/>
      <w:r>
        <w:drawing>
          <wp:inline>
            <wp:extent cx="5943600" cy="4186281"/>
            <wp:effectExtent b="0" l="0" r="0" t="0"/>
            <wp:docPr descr="Figure 25: Vista. Arquitectura. 3. Decisiones" title="" id="183" name="Picture"/>
            <a:graphic>
              <a:graphicData uri="http://schemas.openxmlformats.org/drawingml/2006/picture">
                <pic:pic>
                  <pic:nvPicPr>
                    <pic:cNvPr descr="images/Arquitectura.3.Decisiones.png" id="184" name="Picture"/>
                    <pic:cNvPicPr>
                      <a:picLocks noChangeArrowheads="1" noChangeAspect="1"/>
                    </pic:cNvPicPr>
                  </pic:nvPicPr>
                  <pic:blipFill>
                    <a:blip r:embed="rId182"/>
                    <a:stretch>
                      <a:fillRect/>
                    </a:stretch>
                  </pic:blipFill>
                  <pic:spPr bwMode="auto">
                    <a:xfrm>
                      <a:off x="0" y="0"/>
                      <a:ext cx="5943600" cy="4186281"/>
                    </a:xfrm>
                    <a:prstGeom prst="rect">
                      <a:avLst/>
                    </a:prstGeom>
                    <a:noFill/>
                    <a:ln w="9525">
                      <a:noFill/>
                      <a:headEnd/>
                      <a:tailEnd/>
                    </a:ln>
                  </pic:spPr>
                </pic:pic>
              </a:graphicData>
            </a:graphic>
          </wp:inline>
        </w:drawing>
      </w:r>
      <w:bookmarkEnd w:id="185"/>
    </w:p>
    <w:p>
      <w:pPr>
        <w:pStyle w:val="ImageCaption"/>
      </w:pPr>
      <w:r>
        <w:t xml:space="preserve">Figure 25: Vista. Arquitectura. 3. Decisiones</w:t>
      </w:r>
    </w:p>
    <w:bookmarkEnd w:id="0"/>
    <w:p>
      <w:pPr>
        <w:pStyle w:val="BodyText"/>
      </w:pPr>
      <w:r>
        <w:t xml:space="preserve">Listado de las decisiones de arquitectura incorporadas en el diseño del SUI Migrado.</w:t>
      </w:r>
    </w:p>
    <w:p>
      <w:pPr>
        <w:numPr>
          <w:ilvl w:val="0"/>
          <w:numId w:val="1023"/>
        </w:numPr>
        <w:pStyle w:val="Compact"/>
      </w:pPr>
      <w:r>
        <w:t xml:space="preserve">Consistencia. La consistencia persigue que el resultado de la lógica de negocio sea la misma entre los módulos del SUI migrado.</w:t>
      </w:r>
    </w:p>
    <w:p>
      <w:pPr>
        <w:numPr>
          <w:ilvl w:val="0"/>
          <w:numId w:val="1023"/>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3"/>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18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186"/>
    <w:bookmarkEnd w:id="187"/>
    <w:bookmarkStart w:id="194" w:name="arquitectura.-1.-dev-docs"/>
    <w:p>
      <w:pPr>
        <w:pStyle w:val="Heading2"/>
      </w:pPr>
      <w:r>
        <w:t xml:space="preserve">Arquitectura. 1. Dev Docs</w:t>
      </w:r>
    </w:p>
    <w:bookmarkStart w:id="0" w:name="fig:Arquitectura.1.DevDocs"/>
    <w:p>
      <w:pPr>
        <w:pStyle w:val="CaptionedFigure"/>
      </w:pPr>
      <w:bookmarkStart w:id="191" w:name="fig:Arquitectura.1.DevDocs"/>
      <w:r>
        <w:drawing>
          <wp:inline>
            <wp:extent cx="5943600" cy="4646644"/>
            <wp:effectExtent b="0" l="0" r="0" t="0"/>
            <wp:docPr descr="Figure 26: Vista. Arquitectura. 1. Dev Docs" title="" id="189" name="Picture"/>
            <a:graphic>
              <a:graphicData uri="http://schemas.openxmlformats.org/drawingml/2006/picture">
                <pic:pic>
                  <pic:nvPicPr>
                    <pic:cNvPr descr="images/Arquitectura.1.DevDocs.png" id="190" name="Picture"/>
                    <pic:cNvPicPr>
                      <a:picLocks noChangeArrowheads="1" noChangeAspect="1"/>
                    </pic:cNvPicPr>
                  </pic:nvPicPr>
                  <pic:blipFill>
                    <a:blip r:embed="rId188"/>
                    <a:stretch>
                      <a:fillRect/>
                    </a:stretch>
                  </pic:blipFill>
                  <pic:spPr bwMode="auto">
                    <a:xfrm>
                      <a:off x="0" y="0"/>
                      <a:ext cx="5943600" cy="4646644"/>
                    </a:xfrm>
                    <a:prstGeom prst="rect">
                      <a:avLst/>
                    </a:prstGeom>
                    <a:noFill/>
                    <a:ln w="9525">
                      <a:noFill/>
                      <a:headEnd/>
                      <a:tailEnd/>
                    </a:ln>
                  </pic:spPr>
                </pic:pic>
              </a:graphicData>
            </a:graphic>
          </wp:inline>
        </w:drawing>
      </w:r>
      <w:bookmarkEnd w:id="191"/>
    </w:p>
    <w:p>
      <w:pPr>
        <w:pStyle w:val="ImageCaption"/>
      </w:pPr>
      <w:r>
        <w:t xml:space="preserve">Figure 26: Vista. Arquitectura. 1. Dev Docs</w:t>
      </w:r>
    </w:p>
    <w:bookmarkEnd w:id="0"/>
    <w:bookmarkStart w:id="192"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Fase 2, PGN Migración Funcional SUI. Contiene tres partes:</w:t>
      </w:r>
    </w:p>
    <w:p>
      <w:pPr>
        <w:pStyle w:val="BodyText"/>
      </w:pPr>
      <w:r>
        <w:t xml:space="preserve">Partes del repositorio de arquitectura</w:t>
      </w:r>
    </w:p>
    <w:p>
      <w:pPr>
        <w:numPr>
          <w:ilvl w:val="0"/>
          <w:numId w:val="1024"/>
        </w:numPr>
        <w:pStyle w:val="Compact"/>
      </w:pPr>
      <w:r>
        <w:t xml:space="preserve">Bitácora de decisiones de arquitectura</w:t>
      </w:r>
    </w:p>
    <w:p>
      <w:pPr>
        <w:numPr>
          <w:ilvl w:val="0"/>
          <w:numId w:val="1024"/>
        </w:numPr>
        <w:pStyle w:val="Compact"/>
      </w:pPr>
      <w:r>
        <w:t xml:space="preserve">El depósito de modelos y descripciones de los ítems de arquitectura</w:t>
      </w:r>
    </w:p>
    <w:p>
      <w:pPr>
        <w:numPr>
          <w:ilvl w:val="0"/>
          <w:numId w:val="1024"/>
        </w:numPr>
        <w:pStyle w:val="Compact"/>
      </w:pPr>
      <w:r>
        <w:t xml:space="preserve">Los anexos de análisis de riesgos e impactos relacionados con los los ítems de arquitectura</w:t>
      </w:r>
    </w:p>
    <w:bookmarkEnd w:id="192"/>
    <w:bookmarkStart w:id="19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p>
      <w:pPr>
        <w:pStyle w:val="BodyText"/>
      </w:pPr>
      <w:r>
        <w:rPr>
          <w:rStyle w:val="VerbatimChar"/>
        </w:rPr>
        <w:t xml:space="preserve">Generated on: Wed May 29 2024 06:40:56 GMT-0500 (COT)</w:t>
      </w:r>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8" Target="media/rId188.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116" Target="media/rId116.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2024-05-29T12:01:34Z</dcterms:created>
  <dcterms:modified xsi:type="dcterms:W3CDTF">2024-05-29T12:01:34Z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