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Estratego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p>
      <w:pPr>
        <w:numPr>
          <w:ilvl w:val="0"/>
          <w:numId w:val="1016"/>
        </w:numPr>
        <w:pStyle w:val="Compact"/>
      </w:pPr>
      <w:r>
        <w:t xml:space="preserve">RSG11. Estrategias de Migración de datos</w:t>
      </w:r>
    </w:p>
    <w:p>
      <w:pPr>
        <w:numPr>
          <w:ilvl w:val="0"/>
          <w:numId w:val="1016"/>
        </w:numPr>
        <w:pStyle w:val="Compact"/>
      </w:pPr>
      <w:r>
        <w:t xml:space="preserve">RSG12. Arquitectura de almacenamiento y distribución de datos Sistema Único de Información (SUI)</w:t>
      </w:r>
    </w:p>
    <w:p>
      <w:pPr>
        <w:numPr>
          <w:ilvl w:val="0"/>
          <w:numId w:val="1016"/>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0"/>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1"/>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Mon Dec 18 2023 09:40:27 GMT-0500 (COT)</w:t>
      </w:r>
    </w:p>
    <w:bookmarkEnd w:id="172"/>
    <w:bookmarkEnd w:id="173"/>
    <w:bookmarkEnd w:id="17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2023-12-18T14:43:49Z</dcterms:created>
  <dcterms:modified xsi:type="dcterms:W3CDTF">2023-12-18T14:43:49Z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