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21.png" ContentType="image/png"/>
  <Override PartName="/word/media/rId27.png" ContentType="image/png"/>
  <Override PartName="/word/media/rId49.png" ContentType="image/png"/>
  <Override PartName="/word/media/rId56.png" ContentType="image/png"/>
  <Override PartName="/word/media/rId64.png" ContentType="image/png"/>
  <Override PartName="/word/media/rId7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1"/>
          <w:numId w:val="1002"/>
        </w:numPr>
        <w:pStyle w:val="Compact"/>
      </w:pPr>
      <w:hyperlink w:anchor="migracion.1a.a.siu-contexto">
        <w:r>
          <w:rPr>
            <w:rStyle w:val="Hyperlink"/>
          </w:rPr>
          <w:t xml:space="preserve">Migracion.1a.a.SIU Contexto</w:t>
        </w:r>
      </w:hyperlink>
    </w:p>
    <w:p>
      <w:pPr>
        <w:numPr>
          <w:ilvl w:val="1"/>
          <w:numId w:val="1002"/>
        </w:numPr>
        <w:pStyle w:val="Compact"/>
      </w:pPr>
      <w:hyperlink w:anchor="migracion.1a.b.siu-módulos">
        <w:r>
          <w:rPr>
            <w:rStyle w:val="Hyperlink"/>
          </w:rPr>
          <w:t xml:space="preserve">Migracion.1a.b.SIU Módulos</w:t>
        </w:r>
      </w:hyperlink>
    </w:p>
    <w:p>
      <w:pPr>
        <w:numPr>
          <w:ilvl w:val="0"/>
          <w:numId w:val="1001"/>
        </w:numPr>
        <w:pStyle w:val="Compact"/>
      </w:pPr>
      <w:hyperlink w:anchor="física">
        <w:r>
          <w:rPr>
            <w:rStyle w:val="Hyperlink"/>
          </w:rPr>
          <w:t xml:space="preserve">Física</w:t>
        </w:r>
      </w:hyperlink>
    </w:p>
    <w:p>
      <w:pPr>
        <w:numPr>
          <w:ilvl w:val="1"/>
          <w:numId w:val="1003"/>
        </w:numPr>
        <w:pStyle w:val="Compact"/>
      </w:pPr>
      <w:hyperlink w:anchor="lineabase.0.siu-applicación.-física">
        <w:r>
          <w:rPr>
            <w:rStyle w:val="Hyperlink"/>
          </w:rPr>
          <w:t xml:space="preserve">Lineabase.0.SIU applicación. física</w:t>
        </w:r>
      </w:hyperlink>
    </w:p>
    <w:p>
      <w:pPr>
        <w:numPr>
          <w:ilvl w:val="0"/>
          <w:numId w:val="1001"/>
        </w:numPr>
        <w:pStyle w:val="Compact"/>
      </w:pPr>
      <w:hyperlink w:anchor="motivadores">
        <w:r>
          <w:rPr>
            <w:rStyle w:val="Hyperlink"/>
          </w:rPr>
          <w:t xml:space="preserve">Motivadores</w:t>
        </w:r>
      </w:hyperlink>
    </w:p>
    <w:p>
      <w:pPr>
        <w:numPr>
          <w:ilvl w:val="1"/>
          <w:numId w:val="1004"/>
        </w:numPr>
        <w:pStyle w:val="Compact"/>
      </w:pPr>
      <w:hyperlink w:anchor="migracion.1a.b.siu-módulos">
        <w:r>
          <w:rPr>
            <w:rStyle w:val="Hyperlink"/>
          </w:rPr>
          <w:t xml:space="preserve">Migracion.1a.b.SIU Módulos</w:t>
        </w:r>
      </w:hyperlink>
    </w:p>
    <w:p>
      <w:pPr>
        <w:numPr>
          <w:ilvl w:val="1"/>
          <w:numId w:val="1004"/>
        </w:numPr>
        <w:pStyle w:val="Compact"/>
      </w:pPr>
      <w:hyperlink w:anchor="riesgos.1.-migración-funcional">
        <w:r>
          <w:rPr>
            <w:rStyle w:val="Hyperlink"/>
          </w:rPr>
          <w:t xml:space="preserve">Riesgos.1. Migración funcional</w:t>
        </w:r>
      </w:hyperlink>
    </w:p>
    <w:p>
      <w:pPr>
        <w:numPr>
          <w:ilvl w:val="1"/>
          <w:numId w:val="1004"/>
        </w:numPr>
        <w:pStyle w:val="Compact"/>
      </w:pPr>
      <w:hyperlink w:anchor="riesgos.2.-modelo-riesgo-rsg10">
        <w:r>
          <w:rPr>
            <w:rStyle w:val="Hyperlink"/>
          </w:rPr>
          <w:t xml:space="preserve">Riesgos.2. Modelo Riesgo RSG10</w:t>
        </w:r>
      </w:hyperlink>
    </w:p>
    <w:p>
      <w:pPr>
        <w:numPr>
          <w:ilvl w:val="1"/>
          <w:numId w:val="1004"/>
        </w:numPr>
        <w:pStyle w:val="Compact"/>
      </w:pPr>
      <w:hyperlink w:anchor="riesgos.3.-modelo-riesgo-rsg11">
        <w:r>
          <w:rPr>
            <w:rStyle w:val="Hyperlink"/>
          </w:rPr>
          <w:t xml:space="preserve">Riesgos.3. Modelo Riesgo RSG11</w:t>
        </w:r>
      </w:hyperlink>
    </w:p>
    <w:p>
      <w:pPr>
        <w:numPr>
          <w:ilvl w:val="0"/>
          <w:numId w:val="1001"/>
        </w:numPr>
        <w:pStyle w:val="Compact"/>
      </w:pPr>
      <w:hyperlink w:anchor="interoperabilidad">
        <w:r>
          <w:rPr>
            <w:rStyle w:val="Hyperlink"/>
          </w:rPr>
          <w:t xml:space="preserve">Interoperabilidad</w:t>
        </w:r>
      </w:hyperlink>
    </w:p>
    <w:p>
      <w:pPr>
        <w:numPr>
          <w:ilvl w:val="1"/>
          <w:numId w:val="1005"/>
        </w:numPr>
        <w:pStyle w:val="Compact"/>
      </w:pPr>
      <w:hyperlink w:anchor="migracion.1c.siu-modulos-colaboración">
        <w:r>
          <w:rPr>
            <w:rStyle w:val="Hyperlink"/>
          </w:rPr>
          <w:t xml:space="preserve">Migracion.1c.SIU Modulos Colaboración</w:t>
        </w:r>
      </w:hyperlink>
    </w:p>
    <w:p>
      <w:pPr>
        <w:numPr>
          <w:ilvl w:val="0"/>
          <w:numId w:val="1001"/>
        </w:numPr>
        <w:pStyle w:val="Compact"/>
      </w:pPr>
      <w:hyperlink w:anchor="seguridad">
        <w:r>
          <w:rPr>
            <w:rStyle w:val="Hyperlink"/>
          </w:rPr>
          <w:t xml:space="preserve">Seguridad</w:t>
        </w:r>
      </w:hyperlink>
    </w:p>
    <w:p>
      <w:pPr>
        <w:numPr>
          <w:ilvl w:val="1"/>
          <w:numId w:val="1006"/>
        </w:numPr>
        <w:pStyle w:val="Compact"/>
      </w:pPr>
      <w:hyperlink w:anchor="seguridad.2.-lineabase.0.siu-applicación">
        <w:r>
          <w:rPr>
            <w:rStyle w:val="Hyperlink"/>
          </w:rPr>
          <w:t xml:space="preserve">Seguridad.2. Lineabase.0.SIU Applicación</w:t>
        </w:r>
      </w:hyperlink>
    </w:p>
    <w:p>
      <w:pPr>
        <w:numPr>
          <w:ilvl w:val="0"/>
          <w:numId w:val="1001"/>
        </w:numPr>
        <w:pStyle w:val="Compact"/>
      </w:pPr>
      <w:hyperlink w:anchor="componentes">
        <w:r>
          <w:rPr>
            <w:rStyle w:val="Hyperlink"/>
          </w:rPr>
          <w:t xml:space="preserve">Componentes</w:t>
        </w:r>
      </w:hyperlink>
    </w:p>
    <w:p>
      <w:pPr>
        <w:numPr>
          <w:ilvl w:val="1"/>
          <w:numId w:val="1007"/>
        </w:numPr>
        <w:pStyle w:val="Compact"/>
      </w:pPr>
      <w:hyperlink w:anchor="migracion.1b.1.-siu-módulos-componentes">
        <w:r>
          <w:rPr>
            <w:rStyle w:val="Hyperlink"/>
          </w:rPr>
          <w:t xml:space="preserve">Migracion.1b.1. SIU Módulos Componentes</w:t>
        </w:r>
      </w:hyperlink>
    </w:p>
    <w:p>
      <w:pPr>
        <w:numPr>
          <w:ilvl w:val="1"/>
          <w:numId w:val="1007"/>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bookmarkEnd w:id="20"/>
    <w:bookmarkStart w:id="34" w:name="contexto"/>
    <w:p>
      <w:pPr>
        <w:pStyle w:val="Heading1"/>
      </w:pPr>
      <w:r>
        <w:t xml:space="preserve">Contexto</w:t>
      </w:r>
    </w:p>
    <w:bookmarkStart w:id="26" w:name="migracion.1a.a.siu-contexto"/>
    <w:p>
      <w:pPr>
        <w:pStyle w:val="Heading2"/>
      </w:pPr>
      <w:r>
        <w:t xml:space="preserve">Migracion.1a.a.SIU Contexto</w:t>
      </w:r>
    </w:p>
    <w:bookmarkStart w:id="0" w:name="fig:Migracion.1a.a.SIUContexto"/>
    <w:p>
      <w:pPr>
        <w:pStyle w:val="CaptionedFigure"/>
      </w:pPr>
      <w:bookmarkStart w:id="24" w:name="fig:Migracion.1a.a.SIUContexto"/>
      <w:r>
        <w:drawing>
          <wp:inline>
            <wp:extent cx="5943600" cy="4263886"/>
            <wp:effectExtent b="0" l="0" r="0" t="0"/>
            <wp:docPr descr="Figure 1: Diagram: Migracion.1a.a.SIU Contexto" title="" id="22" name="Picture"/>
            <a:graphic>
              <a:graphicData uri="http://schemas.openxmlformats.org/drawingml/2006/picture">
                <pic:pic>
                  <pic:nvPicPr>
                    <pic:cNvPr descr="images/Migracion.1a.a.SIUContexto.png" id="23" name="Picture"/>
                    <pic:cNvPicPr>
                      <a:picLocks noChangeArrowheads="1" noChangeAspect="1"/>
                    </pic:cNvPicPr>
                  </pic:nvPicPr>
                  <pic:blipFill>
                    <a:blip r:embed="rId21"/>
                    <a:stretch>
                      <a:fillRect/>
                    </a:stretch>
                  </pic:blipFill>
                  <pic:spPr bwMode="auto">
                    <a:xfrm>
                      <a:off x="0" y="0"/>
                      <a:ext cx="5943600" cy="4263886"/>
                    </a:xfrm>
                    <a:prstGeom prst="rect">
                      <a:avLst/>
                    </a:prstGeom>
                    <a:noFill/>
                    <a:ln w="9525">
                      <a:noFill/>
                      <a:headEnd/>
                      <a:tailEnd/>
                    </a:ln>
                  </pic:spPr>
                </pic:pic>
              </a:graphicData>
            </a:graphic>
          </wp:inline>
        </w:drawing>
      </w:r>
      <w:bookmarkEnd w:id="24"/>
    </w:p>
    <w:p>
      <w:pPr>
        <w:pStyle w:val="ImageCaption"/>
      </w:pPr>
      <w:r>
        <w:t xml:space="preserve">Figure 1: Diagram: Migracion.1a.a.SIU Contexto</w:t>
      </w:r>
    </w:p>
    <w:bookmarkEnd w:id="0"/>
    <w:p>
      <w:pPr>
        <w:pStyle w:val="BodyText"/>
      </w:pPr>
      <w:r>
        <w:t xml:space="preserve">La vista presenta en contexto a los módulos SUI migrados y el estilo de comunicación vía API sincreonica/asincrónica.</w:t>
      </w:r>
    </w:p>
    <w:p>
      <w:pPr>
        <w:pStyle w:val="BodyText"/>
      </w:pPr>
      <w:r>
        <w:t xml:space="preserve">Cada módulo migrado atiende al funcionario que le corresponde, p. ejemplo, Relatoría atiende a la depedencia Jurídica de la PGN. Los módulos comparten su información mediante el API local presente dentro de cada uno. Esto es, la información se mantiene protegida en dominios pero coordinada (se comparte con otros dominios).</w:t>
      </w:r>
    </w:p>
    <w:p>
      <w:pPr>
        <w:pStyle w:val="BodyText"/>
      </w:pPr>
      <w:r>
        <w:t xml:space="preserve">El arreglo de datos de registros operativos y transaccionales es como sigue: cada módulo individual mantiene su registro de datos, estado y transacciones minimizado y protegido (individual y aislado). Salvo excepciones no consentidas por el diseño original, un módulo puede compartir el mismo almacen de datos con otro.</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 2</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cc:Almacenamiento 3</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cc:Almacenamiento N</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bl>
    <w:bookmarkEnd w:id="25"/>
    <w:bookmarkEnd w:id="26"/>
    <w:bookmarkStart w:id="33" w:name="migracion.1a.b.siu-módulos"/>
    <w:p>
      <w:pPr>
        <w:pStyle w:val="Heading2"/>
      </w:pPr>
      <w:r>
        <w:t xml:space="preserve">Migracion.1a.b.SIU Módulos</w:t>
      </w:r>
    </w:p>
    <w:bookmarkStart w:id="0" w:name="fig:Migracion.1a.b.SIUMódulos"/>
    <w:p>
      <w:pPr>
        <w:pStyle w:val="CaptionedFigure"/>
      </w:pPr>
      <w:bookmarkStart w:id="30" w:name="fig:Migracion.1a.b.SIUMódulos"/>
      <w:r>
        <w:drawing>
          <wp:inline>
            <wp:extent cx="5943600" cy="3833926"/>
            <wp:effectExtent b="0" l="0" r="0" t="0"/>
            <wp:docPr descr="Figure 2: Diagram: Migracion.1a.b.SIU Módulos" title="" id="28" name="Picture"/>
            <a:graphic>
              <a:graphicData uri="http://schemas.openxmlformats.org/drawingml/2006/picture">
                <pic:pic>
                  <pic:nvPicPr>
                    <pic:cNvPr descr="images/Migracion.1a.b.SIUMódulos.png" id="29" name="Picture"/>
                    <pic:cNvPicPr>
                      <a:picLocks noChangeArrowheads="1" noChangeAspect="1"/>
                    </pic:cNvPicPr>
                  </pic:nvPicPr>
                  <pic:blipFill>
                    <a:blip r:embed="rId27"/>
                    <a:stretch>
                      <a:fillRect/>
                    </a:stretch>
                  </pic:blipFill>
                  <pic:spPr bwMode="auto">
                    <a:xfrm>
                      <a:off x="0" y="0"/>
                      <a:ext cx="5943600" cy="3833926"/>
                    </a:xfrm>
                    <a:prstGeom prst="rect">
                      <a:avLst/>
                    </a:prstGeom>
                    <a:noFill/>
                    <a:ln w="9525">
                      <a:noFill/>
                      <a:headEnd/>
                      <a:tailEnd/>
                    </a:ln>
                  </pic:spPr>
                </pic:pic>
              </a:graphicData>
            </a:graphic>
          </wp:inline>
        </w:drawing>
      </w:r>
      <w:bookmarkEnd w:id="30"/>
    </w:p>
    <w:p>
      <w:pPr>
        <w:pStyle w:val="ImageCaption"/>
      </w:pPr>
      <w:r>
        <w:t xml:space="preserve">Figure 2: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8"/>
        </w:numPr>
        <w:pStyle w:val="Compact"/>
      </w:pPr>
      <w:r>
        <w:t xml:space="preserve">cc:Presentación</w:t>
      </w:r>
    </w:p>
    <w:p>
      <w:pPr>
        <w:numPr>
          <w:ilvl w:val="0"/>
          <w:numId w:val="1008"/>
        </w:numPr>
        <w:pStyle w:val="Compact"/>
      </w:pPr>
      <w:r>
        <w:t xml:space="preserve">cc:Servicios de aplicación</w:t>
      </w:r>
    </w:p>
    <w:p>
      <w:pPr>
        <w:numPr>
          <w:ilvl w:val="0"/>
          <w:numId w:val="1008"/>
        </w:numPr>
        <w:pStyle w:val="Compact"/>
      </w:pPr>
      <w:r>
        <w:t xml:space="preserve">cc:Portales y canales</w:t>
      </w:r>
    </w:p>
    <w:p>
      <w:pPr>
        <w:numPr>
          <w:ilvl w:val="0"/>
          <w:numId w:val="1008"/>
        </w:numPr>
        <w:pStyle w:val="Compact"/>
      </w:pPr>
      <w:r>
        <w:t xml:space="preserve">cc:Administración y configuración</w:t>
      </w:r>
    </w:p>
    <w:p>
      <w:pPr>
        <w:numPr>
          <w:ilvl w:val="0"/>
          <w:numId w:val="1008"/>
        </w:numPr>
        <w:pStyle w:val="Compact"/>
      </w:pPr>
      <w:r>
        <w:t xml:space="preserve">cc:Almacenamiento</w:t>
      </w:r>
    </w:p>
    <w:bookmarkStart w:id="3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31"/>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32"/>
    <w:bookmarkEnd w:id="33"/>
    <w:bookmarkEnd w:id="34"/>
    <w:bookmarkStart w:id="42" w:name="física"/>
    <w:p>
      <w:pPr>
        <w:pStyle w:val="Heading1"/>
      </w:pPr>
      <w:r>
        <w:t xml:space="preserve">Física</w:t>
      </w:r>
    </w:p>
    <w:bookmarkStart w:id="39" w:name="lineabase.0.siu-applicación.-física"/>
    <w:p>
      <w:pPr>
        <w:pStyle w:val="Heading2"/>
      </w:pPr>
      <w:r>
        <w:t xml:space="preserve">Lineabase.0.SIU applicación. física</w:t>
      </w:r>
    </w:p>
    <w:bookmarkStart w:id="0" w:name="fig:Lineabase.0.SIUapplicación.física"/>
    <w:p>
      <w:pPr>
        <w:pStyle w:val="CaptionedFigure"/>
      </w:pPr>
      <w:bookmarkStart w:id="38" w:name="fig:Lineabase.0.SIUapplicación.física"/>
      <w:r>
        <w:drawing>
          <wp:inline>
            <wp:extent cx="5943600" cy="3905662"/>
            <wp:effectExtent b="0" l="0" r="0" t="0"/>
            <wp:docPr descr="Figure 3: Diagram: Lineabase.0.SIU applicación. física" title="" id="36" name="Picture"/>
            <a:graphic>
              <a:graphicData uri="http://schemas.openxmlformats.org/drawingml/2006/picture">
                <pic:pic>
                  <pic:nvPicPr>
                    <pic:cNvPr descr="images/Lineabase.0.SIUapplicación.física.png" id="37" name="Picture"/>
                    <pic:cNvPicPr>
                      <a:picLocks noChangeArrowheads="1" noChangeAspect="1"/>
                    </pic:cNvPicPr>
                  </pic:nvPicPr>
                  <pic:blipFill>
                    <a:blip r:embed="rId35"/>
                    <a:stretch>
                      <a:fillRect/>
                    </a:stretch>
                  </pic:blipFill>
                  <pic:spPr bwMode="auto">
                    <a:xfrm>
                      <a:off x="0" y="0"/>
                      <a:ext cx="5943600" cy="3905662"/>
                    </a:xfrm>
                    <a:prstGeom prst="rect">
                      <a:avLst/>
                    </a:prstGeom>
                    <a:noFill/>
                    <a:ln w="9525">
                      <a:noFill/>
                      <a:headEnd/>
                      <a:tailEnd/>
                    </a:ln>
                  </pic:spPr>
                </pic:pic>
              </a:graphicData>
            </a:graphic>
          </wp:inline>
        </w:drawing>
      </w:r>
      <w:bookmarkEnd w:id="38"/>
    </w:p>
    <w:p>
      <w:pPr>
        <w:pStyle w:val="ImageCaption"/>
      </w:pPr>
      <w:r>
        <w:t xml:space="preserve">Figure 3: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9"/>
    <w:bookmarkStart w:id="41"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9"/>
        </w:numPr>
        <w:pStyle w:val="Compact"/>
      </w:pPr>
      <w:r>
        <w:t xml:space="preserve">Runtime: Es el servicio que interactúa con el usuario final (GUI) elaborado en Angular 11</w:t>
      </w:r>
    </w:p>
    <w:p>
      <w:pPr>
        <w:numPr>
          <w:ilvl w:val="0"/>
          <w:numId w:val="1009"/>
        </w:numPr>
        <w:pStyle w:val="Compact"/>
      </w:pPr>
      <w:r>
        <w:t xml:space="preserve">API Tx: Servicio api rest base node encargado de realizar las transacciones básicas CRUD</w:t>
      </w:r>
    </w:p>
    <w:p>
      <w:pPr>
        <w:numPr>
          <w:ilvl w:val="0"/>
          <w:numId w:val="1009"/>
        </w:numPr>
        <w:pStyle w:val="Compact"/>
      </w:pPr>
      <w:r>
        <w:t xml:space="preserve">API Config / Seguridad. Servicio Web API .Net Framework encargado de gestionar características con la autenticación y configuración</w:t>
      </w:r>
    </w:p>
    <w:p>
      <w:pPr>
        <w:pStyle w:val="FirstParagraph"/>
      </w:pPr>
    </w:p>
    <w:bookmarkStart w:id="40"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r>
        <w:br w:type="page"/>
      </w:r>
    </w:p>
    <w:bookmarkEnd w:id="40"/>
    <w:bookmarkEnd w:id="41"/>
    <w:bookmarkEnd w:id="42"/>
    <w:bookmarkStart w:id="72" w:name="motivadores"/>
    <w:p>
      <w:pPr>
        <w:pStyle w:val="Heading1"/>
      </w:pPr>
      <w:r>
        <w:t xml:space="preserve">Motivadores</w:t>
      </w:r>
    </w:p>
    <w:bookmarkStart w:id="48" w:name="migracion.1a.b.siu-módulos-1"/>
    <w:p>
      <w:pPr>
        <w:pStyle w:val="Heading2"/>
      </w:pPr>
      <w:r>
        <w:t xml:space="preserve">Migracion.1a.b.SIU Módulos</w:t>
      </w:r>
    </w:p>
    <w:bookmarkStart w:id="0" w:name="fig:Migracion.1a.b.SIUMódulos"/>
    <w:p>
      <w:pPr>
        <w:pStyle w:val="CaptionedFigure"/>
      </w:pPr>
      <w:bookmarkStart w:id="45" w:name="fig:Migracion.1a.b.SIUMódulos"/>
      <w:r>
        <w:drawing>
          <wp:inline>
            <wp:extent cx="5943600" cy="3833926"/>
            <wp:effectExtent b="0" l="0" r="0" t="0"/>
            <wp:docPr descr="Figure 4: Diagram: Migracion.1a.b.SIU Módulos" title="" id="43" name="Picture"/>
            <a:graphic>
              <a:graphicData uri="http://schemas.openxmlformats.org/drawingml/2006/picture">
                <pic:pic>
                  <pic:nvPicPr>
                    <pic:cNvPr descr="images/Migracion.1a.b.SIUMódulos.png" id="44" name="Picture"/>
                    <pic:cNvPicPr>
                      <a:picLocks noChangeArrowheads="1" noChangeAspect="1"/>
                    </pic:cNvPicPr>
                  </pic:nvPicPr>
                  <pic:blipFill>
                    <a:blip r:embed="rId27"/>
                    <a:stretch>
                      <a:fillRect/>
                    </a:stretch>
                  </pic:blipFill>
                  <pic:spPr bwMode="auto">
                    <a:xfrm>
                      <a:off x="0" y="0"/>
                      <a:ext cx="5943600" cy="3833926"/>
                    </a:xfrm>
                    <a:prstGeom prst="rect">
                      <a:avLst/>
                    </a:prstGeom>
                    <a:noFill/>
                    <a:ln w="9525">
                      <a:noFill/>
                      <a:headEnd/>
                      <a:tailEnd/>
                    </a:ln>
                  </pic:spPr>
                </pic:pic>
              </a:graphicData>
            </a:graphic>
          </wp:inline>
        </w:drawing>
      </w:r>
      <w:bookmarkEnd w:id="45"/>
    </w:p>
    <w:p>
      <w:pPr>
        <w:pStyle w:val="ImageCaption"/>
      </w:pPr>
      <w:r>
        <w:t xml:space="preserve">Figure 4: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10"/>
        </w:numPr>
        <w:pStyle w:val="Compact"/>
      </w:pPr>
      <w:r>
        <w:t xml:space="preserve">cc:Presentación</w:t>
      </w:r>
    </w:p>
    <w:p>
      <w:pPr>
        <w:numPr>
          <w:ilvl w:val="0"/>
          <w:numId w:val="1010"/>
        </w:numPr>
        <w:pStyle w:val="Compact"/>
      </w:pPr>
      <w:r>
        <w:t xml:space="preserve">cc:Servicios de aplicación</w:t>
      </w:r>
    </w:p>
    <w:p>
      <w:pPr>
        <w:numPr>
          <w:ilvl w:val="0"/>
          <w:numId w:val="1010"/>
        </w:numPr>
        <w:pStyle w:val="Compact"/>
      </w:pPr>
      <w:r>
        <w:t xml:space="preserve">cc:Portales y canales</w:t>
      </w:r>
    </w:p>
    <w:p>
      <w:pPr>
        <w:numPr>
          <w:ilvl w:val="0"/>
          <w:numId w:val="1010"/>
        </w:numPr>
        <w:pStyle w:val="Compact"/>
      </w:pPr>
      <w:r>
        <w:t xml:space="preserve">cc:Administración y configuración</w:t>
      </w:r>
    </w:p>
    <w:p>
      <w:pPr>
        <w:numPr>
          <w:ilvl w:val="0"/>
          <w:numId w:val="1010"/>
        </w:numPr>
        <w:pStyle w:val="Compact"/>
      </w:pPr>
      <w:r>
        <w:t xml:space="preserve">cc:Almacenamiento</w:t>
      </w:r>
    </w:p>
    <w:bookmarkStart w:id="46" w:name="Xc6b8f82d3a5fabccc0c9a0996f895a457de3bf6"/>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46"/>
    <w:bookmarkStart w:id="4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47"/>
    <w:bookmarkEnd w:id="48"/>
    <w:bookmarkStart w:id="55" w:name="riesgos.1.-migración-funcional"/>
    <w:p>
      <w:pPr>
        <w:pStyle w:val="Heading2"/>
      </w:pPr>
      <w:r>
        <w:t xml:space="preserve">Riesgos.1. Migración funcional</w:t>
      </w:r>
    </w:p>
    <w:bookmarkStart w:id="0" w:name="fig:Riesgos.1.Migraciónfuncional"/>
    <w:p>
      <w:pPr>
        <w:pStyle w:val="CaptionedFigure"/>
      </w:pPr>
      <w:bookmarkStart w:id="52" w:name="fig:Riesgos.1.Migraciónfuncional"/>
      <w:r>
        <w:drawing>
          <wp:inline>
            <wp:extent cx="5943600" cy="3827553"/>
            <wp:effectExtent b="0" l="0" r="0" t="0"/>
            <wp:docPr descr="Figure 5: Diagram: Riesgos.1. Migración funcional" title="" id="50" name="Picture"/>
            <a:graphic>
              <a:graphicData uri="http://schemas.openxmlformats.org/drawingml/2006/picture">
                <pic:pic>
                  <pic:nvPicPr>
                    <pic:cNvPr descr="images/Riesgos.1.Migraciónfuncional.png" id="51" name="Picture"/>
                    <pic:cNvPicPr>
                      <a:picLocks noChangeArrowheads="1" noChangeAspect="1"/>
                    </pic:cNvPicPr>
                  </pic:nvPicPr>
                  <pic:blipFill>
                    <a:blip r:embed="rId49"/>
                    <a:stretch>
                      <a:fillRect/>
                    </a:stretch>
                  </pic:blipFill>
                  <pic:spPr bwMode="auto">
                    <a:xfrm>
                      <a:off x="0" y="0"/>
                      <a:ext cx="5943600" cy="3827553"/>
                    </a:xfrm>
                    <a:prstGeom prst="rect">
                      <a:avLst/>
                    </a:prstGeom>
                    <a:noFill/>
                    <a:ln w="9525">
                      <a:noFill/>
                      <a:headEnd/>
                      <a:tailEnd/>
                    </a:ln>
                  </pic:spPr>
                </pic:pic>
              </a:graphicData>
            </a:graphic>
          </wp:inline>
        </w:drawing>
      </w:r>
      <w:bookmarkEnd w:id="52"/>
    </w:p>
    <w:p>
      <w:pPr>
        <w:pStyle w:val="ImageCaption"/>
      </w:pPr>
      <w:r>
        <w:t xml:space="preserve">Figure 5: Diagram: Riesgos.1. Migración funcional</w:t>
      </w:r>
    </w:p>
    <w:bookmarkEnd w:id="0"/>
    <w:p>
      <w:pPr>
        <w:pStyle w:val="BodyText"/>
      </w:pPr>
      <w:r>
        <w:t xml:space="preserve">Riesgos de la migración funcional:</w:t>
      </w:r>
    </w:p>
    <w:p>
      <w:pPr>
        <w:numPr>
          <w:ilvl w:val="0"/>
          <w:numId w:val="1011"/>
        </w:numPr>
        <w:pStyle w:val="Compact"/>
      </w:pPr>
      <w:r>
        <w:t xml:space="preserve">RSG1. Estrategia CMS central</w:t>
      </w:r>
    </w:p>
    <w:p>
      <w:pPr>
        <w:numPr>
          <w:ilvl w:val="0"/>
          <w:numId w:val="1011"/>
        </w:numPr>
        <w:pStyle w:val="Compact"/>
      </w:pPr>
      <w:r>
        <w:t xml:space="preserve">RSG2. Motor de búsqueda</w:t>
      </w:r>
    </w:p>
    <w:p>
      <w:pPr>
        <w:numPr>
          <w:ilvl w:val="0"/>
          <w:numId w:val="1011"/>
        </w:numPr>
        <w:pStyle w:val="Compact"/>
      </w:pPr>
      <w:r>
        <w:t xml:space="preserve">RSG3. Estatego como BI</w:t>
      </w:r>
    </w:p>
    <w:p>
      <w:pPr>
        <w:numPr>
          <w:ilvl w:val="0"/>
          <w:numId w:val="1011"/>
        </w:numPr>
        <w:pStyle w:val="Compact"/>
      </w:pPr>
      <w:r>
        <w:t xml:space="preserve">RSG4. Conciliación y Doku</w:t>
      </w:r>
    </w:p>
    <w:p>
      <w:pPr>
        <w:numPr>
          <w:ilvl w:val="0"/>
          <w:numId w:val="1011"/>
        </w:numPr>
        <w:pStyle w:val="Compact"/>
      </w:pPr>
      <w:r>
        <w:t xml:space="preserve">RSG5. Gestión de sesiones / caducidad</w:t>
      </w:r>
    </w:p>
    <w:p>
      <w:pPr>
        <w:numPr>
          <w:ilvl w:val="0"/>
          <w:numId w:val="1011"/>
        </w:numPr>
        <w:pStyle w:val="Compact"/>
      </w:pPr>
      <w:r>
        <w:t xml:space="preserve">RSG6. Componentes de negocio</w:t>
      </w:r>
    </w:p>
    <w:p>
      <w:pPr>
        <w:numPr>
          <w:ilvl w:val="0"/>
          <w:numId w:val="1011"/>
        </w:numPr>
        <w:pStyle w:val="Compact"/>
      </w:pPr>
      <w:r>
        <w:t xml:space="preserve">RSG7. Asignación de roles y permisos de Acceso</w:t>
      </w:r>
    </w:p>
    <w:p>
      <w:pPr>
        <w:numPr>
          <w:ilvl w:val="0"/>
          <w:numId w:val="1011"/>
        </w:numPr>
        <w:pStyle w:val="Compact"/>
      </w:pPr>
      <w:r>
        <w:t xml:space="preserve">RSG8. Intentos de accesos no autorizados</w:t>
      </w:r>
    </w:p>
    <w:p>
      <w:pPr>
        <w:numPr>
          <w:ilvl w:val="0"/>
          <w:numId w:val="1011"/>
        </w:numPr>
        <w:pStyle w:val="Compact"/>
      </w:pPr>
      <w:r>
        <w:t xml:space="preserve">RSG9. Alteración de datos negocio</w:t>
      </w:r>
    </w:p>
    <w:p>
      <w:pPr>
        <w:numPr>
          <w:ilvl w:val="0"/>
          <w:numId w:val="1011"/>
        </w:numPr>
        <w:pStyle w:val="Compact"/>
      </w:pPr>
      <w:r>
        <w:t xml:space="preserve">RSG10. Validación decisiones de arquitectura</w:t>
      </w:r>
    </w:p>
    <w:bookmarkStart w:id="53" w:name="acciones-de-mitigación"/>
    <w:p>
      <w:pPr>
        <w:pStyle w:val="Heading3"/>
      </w:pPr>
      <w:r>
        <w:t xml:space="preserve">Acciones de Mitigación</w:t>
      </w:r>
    </w:p>
    <w:p>
      <w:pPr>
        <w:numPr>
          <w:ilvl w:val="0"/>
          <w:numId w:val="101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1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1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1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1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53"/>
    <w:bookmarkStart w:id="5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54"/>
    <w:bookmarkEnd w:id="55"/>
    <w:bookmarkStart w:id="63" w:name="riesgos.2.-modelo-riesgo-rsg10"/>
    <w:p>
      <w:pPr>
        <w:pStyle w:val="Heading2"/>
      </w:pPr>
      <w:r>
        <w:t xml:space="preserve">Riesgos.2. Modelo Riesgo RSG10</w:t>
      </w:r>
    </w:p>
    <w:bookmarkStart w:id="0" w:name="fig:Riesgos.2.ModeloRiesgoRSG10"/>
    <w:p>
      <w:pPr>
        <w:pStyle w:val="CaptionedFigure"/>
      </w:pPr>
      <w:bookmarkStart w:id="59" w:name="fig:Riesgos.2.ModeloRiesgoRSG10"/>
      <w:r>
        <w:drawing>
          <wp:inline>
            <wp:extent cx="5943600" cy="6154287"/>
            <wp:effectExtent b="0" l="0" r="0" t="0"/>
            <wp:docPr descr="Figure 6: Diagram: Riesgos.2. Modelo Riesgo RSG10" title="" id="57" name="Picture"/>
            <a:graphic>
              <a:graphicData uri="http://schemas.openxmlformats.org/drawingml/2006/picture">
                <pic:pic>
                  <pic:nvPicPr>
                    <pic:cNvPr descr="images/Riesgos.2.ModeloRiesgoRSG10.png" id="58" name="Picture"/>
                    <pic:cNvPicPr>
                      <a:picLocks noChangeArrowheads="1" noChangeAspect="1"/>
                    </pic:cNvPicPr>
                  </pic:nvPicPr>
                  <pic:blipFill>
                    <a:blip r:embed="rId56"/>
                    <a:stretch>
                      <a:fillRect/>
                    </a:stretch>
                  </pic:blipFill>
                  <pic:spPr bwMode="auto">
                    <a:xfrm>
                      <a:off x="0" y="0"/>
                      <a:ext cx="5943600" cy="6154287"/>
                    </a:xfrm>
                    <a:prstGeom prst="rect">
                      <a:avLst/>
                    </a:prstGeom>
                    <a:noFill/>
                    <a:ln w="9525">
                      <a:noFill/>
                      <a:headEnd/>
                      <a:tailEnd/>
                    </a:ln>
                  </pic:spPr>
                </pic:pic>
              </a:graphicData>
            </a:graphic>
          </wp:inline>
        </w:drawing>
      </w:r>
      <w:bookmarkEnd w:id="59"/>
    </w:p>
    <w:p>
      <w:pPr>
        <w:pStyle w:val="ImageCaption"/>
      </w:pPr>
      <w:r>
        <w:t xml:space="preserve">Figure 6: Diagram: Riesgos.2. Modelo Riesgo RSG10</w:t>
      </w:r>
    </w:p>
    <w:bookmarkEnd w:id="0"/>
    <w:p>
      <w:pPr>
        <w:pStyle w:val="BodyText"/>
      </w:pPr>
      <w:r>
        <w:t xml:space="preserve">Para mitigar el riesgo 10, RSG10. Validación decisiones de arquitectura, que tiene como agente de riesgo a los arquitectos del contratista, Softgic, y al de la entidad, PGN, es necesario iniciar un proceso de evaluación y aprobación de la arquitectura. La frecuencia de este proceso será eventual, y como mínimo una vez cada dos semanas.</w:t>
      </w:r>
    </w:p>
    <w:bookmarkStart w:id="61" w:name="valoración-del-riesgo"/>
    <w:p>
      <w:pPr>
        <w:pStyle w:val="Heading3"/>
      </w:pPr>
      <w:r>
        <w:t xml:space="preserve">Valoración del Riesgo</w:t>
      </w:r>
    </w:p>
    <w:bookmarkStart w:id="0" w:name="tbl:requisito1-id"/>
    <w:bookmarkStart w:id="60" w:name="tbl:requisito1-id"/>
    <w:p>
      <w:pPr>
        <w:pStyle w:val="TableCaption"/>
      </w:pPr>
      <w:r>
        <w:t xml:space="preserve">Table 1: Valoración del riesgo RSG10. Validación decisiones de arquitectura. Migración SUI.</w:t>
      </w:r>
      <w:r>
        <w:t xml:space="preserve"> </w:t>
      </w:r>
    </w:p>
    <w:tbl>
      <w:tblPr>
        <w:tblStyle w:val="Table"/>
        <w:tblW w:type="pct" w:w="5000"/>
        <w:tblLook w:firstRow="1" w:lastRow="0" w:firstColumn="0" w:lastColumn="0" w:noHBand="0" w:noVBand="0" w:val="0020"/>
        <w:tblCaption w:val="Table 1: Valoración del riesgo RSG10. Validación decisiones de arquitectura. Migración SUI. "/>
      </w:tblPr>
      <w:tblGrid>
        <w:gridCol w:w="3360"/>
        <w:gridCol w:w="456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60"/>
    <w:bookmarkEnd w:id="0"/>
    <w:bookmarkEnd w:id="61"/>
    <w:bookmarkStart w:id="62"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Agente de riesgo PGN</w:t>
            </w:r>
          </w:p>
        </w:tc>
        <w:tc>
          <w:tcPr/>
          <w:p>
            <w:pPr>
              <w:pStyle w:val="Compact"/>
              <w:jc w:val="left"/>
            </w:pPr>
            <w:r>
              <w:t xml:space="preserve">business-actor</w:t>
            </w:r>
          </w:p>
        </w:tc>
        <w:tc>
          <w:tcPr/>
          <w:p>
            <w:pPr>
              <w:pStyle w:val="Compact"/>
              <w:jc w:val="left"/>
            </w:pPr>
            <w:r>
              <w:t xml:space="preserve">Arquitecto PGN</w:t>
            </w:r>
          </w:p>
        </w:tc>
        <w:tc>
          <w:tcPr/>
          <w:p>
            <w:pPr>
              <w:pStyle w:val="Compact"/>
            </w:pPr>
          </w:p>
        </w:tc>
      </w:tr>
      <w:tr>
        <w:tc>
          <w:tcPr/>
          <w:p>
            <w:pPr>
              <w:pStyle w:val="Compact"/>
              <w:jc w:val="left"/>
            </w:pPr>
            <w:r>
              <w:rPr>
                <w:bCs/>
                <w:b/>
              </w:rPr>
              <w:t xml:space="preserve">Agente de riesgo Softgic</w:t>
            </w:r>
          </w:p>
        </w:tc>
        <w:tc>
          <w:tcPr/>
          <w:p>
            <w:pPr>
              <w:pStyle w:val="Compact"/>
              <w:jc w:val="left"/>
            </w:pPr>
            <w:r>
              <w:t xml:space="preserve">business-actor</w:t>
            </w:r>
          </w:p>
        </w:tc>
        <w:tc>
          <w:tcPr/>
          <w:p>
            <w:pPr>
              <w:pStyle w:val="Compact"/>
              <w:jc w:val="left"/>
            </w:pPr>
            <w:r>
              <w:t xml:space="preserve">Arquitecto Softgic</w:t>
            </w:r>
          </w:p>
        </w:tc>
        <w:tc>
          <w:tcPr/>
          <w:p>
            <w:pPr>
              <w:pStyle w:val="Compact"/>
            </w:pPr>
          </w:p>
        </w:tc>
      </w:tr>
      <w:tr>
        <w:tc>
          <w:tcPr/>
          <w:p>
            <w:pPr>
              <w:pStyle w:val="Compact"/>
              <w:jc w:val="left"/>
            </w:pPr>
            <w:r>
              <w:rPr>
                <w:bCs/>
                <w:b/>
              </w:rPr>
              <w:t xml:space="preserve">Desconocimiento arq. de referencia SUI</w:t>
            </w:r>
          </w:p>
        </w:tc>
        <w:tc>
          <w:tcPr/>
          <w:p>
            <w:pPr>
              <w:pStyle w:val="Compact"/>
              <w:jc w:val="left"/>
            </w:pPr>
            <w:r>
              <w:t xml:space="preserve">business-event</w:t>
            </w:r>
          </w:p>
        </w:tc>
        <w:tc>
          <w:tcPr/>
          <w:p>
            <w:pPr>
              <w:pStyle w:val="Compact"/>
            </w:pP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Evaluación arquitectura de referencia SUI</w:t>
            </w:r>
          </w:p>
        </w:tc>
        <w:tc>
          <w:tcPr/>
          <w:p>
            <w:pPr>
              <w:pStyle w:val="Compact"/>
              <w:jc w:val="left"/>
            </w:pPr>
            <w:r>
              <w:t xml:space="preserve">course-of-action</w:t>
            </w:r>
          </w:p>
        </w:tc>
        <w:tc>
          <w:tcPr/>
          <w:p>
            <w:pPr>
              <w:pStyle w:val="Compact"/>
              <w:jc w:val="left"/>
            </w:pPr>
            <w:r>
              <w:t xml:space="preserve">La frecuencia del proceso de evaluación de la arquitectura es eventual, mínimo una vez cada dos semanas.</w:t>
            </w:r>
          </w:p>
        </w:tc>
        <w:tc>
          <w:tcPr/>
          <w:p>
            <w:pPr>
              <w:pStyle w:val="Compact"/>
            </w:pPr>
          </w:p>
        </w:tc>
      </w:tr>
      <w:tr>
        <w:tc>
          <w:tcPr/>
          <w:p>
            <w:pPr>
              <w:pStyle w:val="Compact"/>
              <w:jc w:val="left"/>
            </w:pPr>
            <w:r>
              <w:rPr>
                <w:bCs/>
                <w:b/>
              </w:rPr>
              <w:t xml:space="preserve">Definición tipos de datos módulos SUI</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Supervisor contrato 078-2023</w:t>
            </w:r>
          </w:p>
        </w:tc>
        <w:tc>
          <w:tcPr/>
          <w:p>
            <w:pPr>
              <w:pStyle w:val="Compact"/>
              <w:jc w:val="left"/>
            </w:pPr>
            <w:r>
              <w:t xml:space="preserve">stakeholder</w:t>
            </w:r>
          </w:p>
        </w:tc>
        <w:tc>
          <w:tcPr/>
          <w:p>
            <w:pPr>
              <w:pStyle w:val="Compact"/>
            </w:pPr>
          </w:p>
        </w:tc>
        <w:tc>
          <w:tcPr/>
          <w:p>
            <w:pPr>
              <w:pStyle w:val="Compact"/>
            </w:pPr>
          </w:p>
        </w:tc>
      </w:tr>
    </w:tbl>
    <w:bookmarkEnd w:id="62"/>
    <w:bookmarkEnd w:id="63"/>
    <w:bookmarkStart w:id="71" w:name="riesgos.3.-modelo-riesgo-rsg11"/>
    <w:p>
      <w:pPr>
        <w:pStyle w:val="Heading2"/>
      </w:pPr>
      <w:r>
        <w:t xml:space="preserve">Riesgos.3. Modelo Riesgo RSG11</w:t>
      </w:r>
    </w:p>
    <w:bookmarkStart w:id="0" w:name="fig:Riesgos.3.ModeloRiesgoRSG11"/>
    <w:p>
      <w:pPr>
        <w:pStyle w:val="CaptionedFigure"/>
      </w:pPr>
      <w:bookmarkStart w:id="67" w:name="fig:Riesgos.3.ModeloRiesgoRSG11"/>
      <w:r>
        <w:drawing>
          <wp:inline>
            <wp:extent cx="5943600" cy="5802481"/>
            <wp:effectExtent b="0" l="0" r="0" t="0"/>
            <wp:docPr descr="Figure 7: Diagram: Riesgos.3. Modelo Riesgo RSG11" title="" id="65" name="Picture"/>
            <a:graphic>
              <a:graphicData uri="http://schemas.openxmlformats.org/drawingml/2006/picture">
                <pic:pic>
                  <pic:nvPicPr>
                    <pic:cNvPr descr="images/Riesgos.3.ModeloRiesgoRSG11.png" id="66" name="Picture"/>
                    <pic:cNvPicPr>
                      <a:picLocks noChangeArrowheads="1" noChangeAspect="1"/>
                    </pic:cNvPicPr>
                  </pic:nvPicPr>
                  <pic:blipFill>
                    <a:blip r:embed="rId64"/>
                    <a:stretch>
                      <a:fillRect/>
                    </a:stretch>
                  </pic:blipFill>
                  <pic:spPr bwMode="auto">
                    <a:xfrm>
                      <a:off x="0" y="0"/>
                      <a:ext cx="5943600" cy="5802481"/>
                    </a:xfrm>
                    <a:prstGeom prst="rect">
                      <a:avLst/>
                    </a:prstGeom>
                    <a:noFill/>
                    <a:ln w="9525">
                      <a:noFill/>
                      <a:headEnd/>
                      <a:tailEnd/>
                    </a:ln>
                  </pic:spPr>
                </pic:pic>
              </a:graphicData>
            </a:graphic>
          </wp:inline>
        </w:drawing>
      </w:r>
      <w:bookmarkEnd w:id="67"/>
    </w:p>
    <w:p>
      <w:pPr>
        <w:pStyle w:val="ImageCaption"/>
      </w:pPr>
      <w:r>
        <w:t xml:space="preserve">Figure 7: Diagram: Riesgos.3. Modelo Riesgo RSG11</w:t>
      </w:r>
    </w:p>
    <w:bookmarkEnd w:id="0"/>
    <w:p>
      <w:pPr>
        <w:pStyle w:val="BodyText"/>
      </w:pPr>
      <w:r>
        <w:t xml:space="preserve">Para mitigar el riesgo 10, RSG10. Validación decisiones de arquitectura, que tiene como agente de riesgo a los arquitectos del contratista, Softgic, y al de la entidad, PGN, es necesario iniciar un proceso de evaluación y aprobación de la arquitectura. La frecuencia de este proceso será eventual, y como mínimo una vez cada dos semanas.</w:t>
      </w:r>
    </w:p>
    <w:bookmarkStart w:id="69" w:name="valoración-del-riesgo-1"/>
    <w:p>
      <w:pPr>
        <w:pStyle w:val="Heading3"/>
      </w:pPr>
      <w:r>
        <w:t xml:space="preserve">Valoración del Riesgo</w:t>
      </w:r>
    </w:p>
    <w:bookmarkStart w:id="0" w:name="tbl:requisito1-id"/>
    <w:bookmarkStart w:id="68" w:name="tbl:requisito1-id"/>
    <w:p>
      <w:pPr>
        <w:pStyle w:val="TableCaption"/>
      </w:pPr>
      <w:r>
        <w:t xml:space="preserve">Table 2: Valoración del riesgo RSG10. Validación decisiones de arquitectura. Migración SUI.</w:t>
      </w:r>
      <w:r>
        <w:t xml:space="preserve"> </w:t>
      </w:r>
    </w:p>
    <w:tbl>
      <w:tblPr>
        <w:tblStyle w:val="Table"/>
        <w:tblW w:type="pct" w:w="5000"/>
        <w:tblLook w:firstRow="1" w:lastRow="0" w:firstColumn="0" w:lastColumn="0" w:noHBand="0" w:noVBand="0" w:val="0020"/>
        <w:tblCaption w:val="Table 2: Valoración del riesgo RSG10. Validación decisiones de arquitectura. Migración SUI. "/>
      </w:tblPr>
      <w:tblGrid>
        <w:gridCol w:w="3360"/>
        <w:gridCol w:w="456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68"/>
    <w:bookmarkEnd w:id="0"/>
    <w:bookmarkEnd w:id="69"/>
    <w:bookmarkStart w:id="70" w:name="catálogo-de-elementos-6"/>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Impacto</w:t>
            </w:r>
          </w:p>
        </w:tc>
        <w:tc>
          <w:tcPr/>
          <w:p>
            <w:pPr>
              <w:pStyle w:val="Compact"/>
              <w:jc w:val="left"/>
            </w:pPr>
            <w:r>
              <w:t xml:space="preserve">assessment</w:t>
            </w:r>
          </w:p>
        </w:tc>
        <w:tc>
          <w:tcPr/>
          <w:p>
            <w:pPr>
              <w:pStyle w:val="Compact"/>
              <w:jc w:val="left"/>
            </w:pPr>
            <w:r>
              <w:t xml:space="preserve">Sobretrabajo del proyecto 078, esfuerzo y presupuesto.</w:t>
            </w:r>
          </w:p>
        </w:tc>
        <w:tc>
          <w:tcPr/>
          <w:p>
            <w:pPr>
              <w:pStyle w:val="Compact"/>
            </w:pPr>
          </w:p>
        </w:tc>
      </w:tr>
      <w:tr>
        <w:tc>
          <w:tcPr/>
          <w:p>
            <w:pPr>
              <w:pStyle w:val="Compact"/>
              <w:jc w:val="left"/>
            </w:pPr>
            <w:r>
              <w:rPr>
                <w:bCs/>
                <w:b/>
              </w:rPr>
              <w:t xml:space="preserve">Agente de riesgo PGN</w:t>
            </w:r>
          </w:p>
        </w:tc>
        <w:tc>
          <w:tcPr/>
          <w:p>
            <w:pPr>
              <w:pStyle w:val="Compact"/>
              <w:jc w:val="left"/>
            </w:pPr>
            <w:r>
              <w:t xml:space="preserve">business-actor</w:t>
            </w:r>
          </w:p>
        </w:tc>
        <w:tc>
          <w:tcPr/>
          <w:p>
            <w:pPr>
              <w:pStyle w:val="Compact"/>
              <w:jc w:val="left"/>
            </w:pPr>
            <w:r>
              <w:t xml:space="preserve">Arquitecto PGN</w:t>
            </w:r>
          </w:p>
        </w:tc>
        <w:tc>
          <w:tcPr/>
          <w:p>
            <w:pPr>
              <w:pStyle w:val="Compact"/>
            </w:pPr>
          </w:p>
        </w:tc>
      </w:tr>
      <w:tr>
        <w:tc>
          <w:tcPr/>
          <w:p>
            <w:pPr>
              <w:pStyle w:val="Compact"/>
              <w:jc w:val="left"/>
            </w:pPr>
            <w:r>
              <w:rPr>
                <w:bCs/>
                <w:b/>
              </w:rPr>
              <w:t xml:space="preserve">Agente de riesgo Softgic</w:t>
            </w:r>
          </w:p>
        </w:tc>
        <w:tc>
          <w:tcPr/>
          <w:p>
            <w:pPr>
              <w:pStyle w:val="Compact"/>
              <w:jc w:val="left"/>
            </w:pPr>
            <w:r>
              <w:t xml:space="preserve">business-actor</w:t>
            </w:r>
          </w:p>
        </w:tc>
        <w:tc>
          <w:tcPr/>
          <w:p>
            <w:pPr>
              <w:pStyle w:val="Compact"/>
              <w:jc w:val="left"/>
            </w:pPr>
            <w:r>
              <w:t xml:space="preserve">Arquitecto Softgic</w:t>
            </w:r>
          </w:p>
        </w:tc>
        <w:tc>
          <w:tcPr/>
          <w:p>
            <w:pPr>
              <w:pStyle w:val="Compact"/>
            </w:pPr>
          </w:p>
        </w:tc>
      </w:tr>
      <w:tr>
        <w:tc>
          <w:tcPr/>
          <w:p>
            <w:pPr>
              <w:pStyle w:val="Compact"/>
              <w:jc w:val="left"/>
            </w:pPr>
            <w:r>
              <w:rPr>
                <w:bCs/>
                <w:b/>
              </w:rPr>
              <w:t xml:space="preserve">Gestión alcance tipos de datos y criterios aceptación migración datos</w:t>
            </w:r>
          </w:p>
        </w:tc>
        <w:tc>
          <w:tcPr/>
          <w:p>
            <w:pPr>
              <w:pStyle w:val="Compact"/>
              <w:jc w:val="left"/>
            </w:pPr>
            <w:r>
              <w:t xml:space="preserve">business-event</w:t>
            </w:r>
          </w:p>
        </w:tc>
        <w:tc>
          <w:tcPr/>
          <w:p>
            <w:pPr>
              <w:pStyle w:val="Compact"/>
            </w:pP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Evaluación tipos de datos, actividades y herramientas</w:t>
            </w:r>
          </w:p>
        </w:tc>
        <w:tc>
          <w:tcPr/>
          <w:p>
            <w:pPr>
              <w:pStyle w:val="Compact"/>
              <w:jc w:val="left"/>
            </w:pPr>
            <w:r>
              <w:t xml:space="preserve">course-of-action</w:t>
            </w:r>
          </w:p>
        </w:tc>
        <w:tc>
          <w:tcPr/>
          <w:p>
            <w:pPr>
              <w:pStyle w:val="Compact"/>
              <w:jc w:val="left"/>
            </w:pPr>
            <w:r>
              <w:t xml:space="preserve">La frecuencia del proceso de evaluación de la arquitectura es eventual, mínimo una vez cada dos semanas.</w:t>
            </w:r>
          </w:p>
        </w:tc>
        <w:tc>
          <w:tcPr/>
          <w:p>
            <w:pPr>
              <w:pStyle w:val="Compact"/>
            </w:pPr>
          </w:p>
        </w:tc>
      </w:tr>
      <w:tr>
        <w:tc>
          <w:tcPr/>
          <w:p>
            <w:pPr>
              <w:pStyle w:val="Compact"/>
              <w:jc w:val="left"/>
            </w:pPr>
            <w:r>
              <w:rPr>
                <w:bCs/>
                <w:b/>
              </w:rPr>
              <w:t xml:space="preserve">Implementación de sincronización y lectura datos (migrados)</w:t>
            </w:r>
          </w:p>
        </w:tc>
        <w:tc>
          <w:tcPr/>
          <w:p>
            <w:pPr>
              <w:pStyle w:val="Compact"/>
              <w:jc w:val="left"/>
            </w:pPr>
            <w:r>
              <w:t xml:space="preserve">course-of-action</w:t>
            </w:r>
          </w:p>
        </w:tc>
        <w:tc>
          <w:tcPr/>
          <w:p>
            <w:pPr>
              <w:pStyle w:val="Compact"/>
              <w:jc w:val="left"/>
            </w:pPr>
            <w:r>
              <w:t xml:space="preserve">La frecuencia del proceso de evaluación de la arquitectura es eventual, mínimo una vez cada dos semanas.</w:t>
            </w:r>
          </w:p>
        </w:tc>
        <w:tc>
          <w:tcPr/>
          <w:p>
            <w:pPr>
              <w:pStyle w:val="Compact"/>
            </w:pPr>
          </w:p>
        </w:tc>
      </w:tr>
      <w:tr>
        <w:tc>
          <w:tcPr/>
          <w:p>
            <w:pPr>
              <w:pStyle w:val="Compact"/>
              <w:jc w:val="left"/>
            </w:pPr>
            <w:r>
              <w:rPr>
                <w:bCs/>
                <w:b/>
              </w:rPr>
              <w:t xml:space="preserve">Definición mecanismo sincronización y extracción (lectura)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Definición tipos de datos módulos SUI</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Supervisor contrato 078-2023</w:t>
            </w:r>
          </w:p>
        </w:tc>
        <w:tc>
          <w:tcPr/>
          <w:p>
            <w:pPr>
              <w:pStyle w:val="Compact"/>
              <w:jc w:val="left"/>
            </w:pPr>
            <w:r>
              <w:t xml:space="preserve">stakeholder</w:t>
            </w:r>
          </w:p>
        </w:tc>
        <w:tc>
          <w:tcPr/>
          <w:p>
            <w:pPr>
              <w:pStyle w:val="Compact"/>
            </w:pPr>
          </w:p>
        </w:tc>
        <w:tc>
          <w:tcPr/>
          <w:p>
            <w:pPr>
              <w:pStyle w:val="Compact"/>
            </w:pPr>
          </w:p>
        </w:tc>
      </w:tr>
    </w:tbl>
    <w:p>
      <w:r>
        <w:br w:type="page"/>
      </w:r>
    </w:p>
    <w:bookmarkEnd w:id="70"/>
    <w:bookmarkEnd w:id="71"/>
    <w:bookmarkEnd w:id="72"/>
    <w:bookmarkStart w:id="76" w:name="interoperabilidad"/>
    <w:p>
      <w:pPr>
        <w:pStyle w:val="Heading1"/>
      </w:pPr>
      <w:r>
        <w:t xml:space="preserve">Interoperabilidad</w:t>
      </w:r>
    </w:p>
    <w:bookmarkStart w:id="75" w:name="migracion.1c.siu-modulos-colaboración"/>
    <w:p>
      <w:pPr>
        <w:pStyle w:val="Heading2"/>
      </w:pPr>
      <w:r>
        <w:t xml:space="preserve">Migracion.1c.SIU Modulos Colaboración</w:t>
      </w:r>
    </w:p>
    <w:bookmarkStart w:id="0" w:name="fig:Migracion.1c.SIUModulosColaboración"/>
    <w:p>
      <w:pPr>
        <w:pStyle w:val="FirstParagraph"/>
      </w:pPr>
      <w:bookmarkStart w:id="73" w:name="fig:Migracion.1c.SIUModulosColaboración"/>
      <w:r>
        <w:t xml:space="preserve">Figure 8: Diagram: Migracion.1c.SIU Modulos Colaboración</w:t>
      </w:r>
      <w:bookmarkEnd w:id="73"/>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74"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p>
      <w:r>
        <w:br w:type="page"/>
      </w:r>
    </w:p>
    <w:bookmarkEnd w:id="74"/>
    <w:bookmarkEnd w:id="75"/>
    <w:bookmarkEnd w:id="76"/>
    <w:bookmarkStart w:id="84" w:name="seguridad"/>
    <w:p>
      <w:pPr>
        <w:pStyle w:val="Heading1"/>
      </w:pPr>
      <w:r>
        <w:t xml:space="preserve">Seguridad</w:t>
      </w:r>
    </w:p>
    <w:bookmarkStart w:id="81" w:name="seguridad.2.-lineabase.0.siu-applicación"/>
    <w:p>
      <w:pPr>
        <w:pStyle w:val="Heading2"/>
      </w:pPr>
      <w:r>
        <w:t xml:space="preserve">Seguridad.2. Lineabase.0.SIU Applicación</w:t>
      </w:r>
    </w:p>
    <w:bookmarkStart w:id="0" w:name="fig:Seguridad.2.Lineabase.0.SIUApplicación"/>
    <w:p>
      <w:pPr>
        <w:pStyle w:val="CaptionedFigure"/>
      </w:pPr>
      <w:bookmarkStart w:id="80" w:name="X33c1a9b94a383ac84b117fb1a66f3781cc89a7d"/>
      <w:r>
        <w:drawing>
          <wp:inline>
            <wp:extent cx="5943600" cy="4279938"/>
            <wp:effectExtent b="0" l="0" r="0" t="0"/>
            <wp:docPr descr="Figure 9: Diagram: Seguridad.2. Lineabase.0.SIU Applicación" title="" id="78" name="Picture"/>
            <a:graphic>
              <a:graphicData uri="http://schemas.openxmlformats.org/drawingml/2006/picture">
                <pic:pic>
                  <pic:nvPicPr>
                    <pic:cNvPr descr="images/Seguridad.2.Lineabase.0.SIUApplicación.png" id="79" name="Picture"/>
                    <pic:cNvPicPr>
                      <a:picLocks noChangeArrowheads="1" noChangeAspect="1"/>
                    </pic:cNvPicPr>
                  </pic:nvPicPr>
                  <pic:blipFill>
                    <a:blip r:embed="rId77"/>
                    <a:stretch>
                      <a:fillRect/>
                    </a:stretch>
                  </pic:blipFill>
                  <pic:spPr bwMode="auto">
                    <a:xfrm>
                      <a:off x="0" y="0"/>
                      <a:ext cx="5943600" cy="4279938"/>
                    </a:xfrm>
                    <a:prstGeom prst="rect">
                      <a:avLst/>
                    </a:prstGeom>
                    <a:noFill/>
                    <a:ln w="9525">
                      <a:noFill/>
                      <a:headEnd/>
                      <a:tailEnd/>
                    </a:ln>
                  </pic:spPr>
                </pic:pic>
              </a:graphicData>
            </a:graphic>
          </wp:inline>
        </w:drawing>
      </w:r>
      <w:bookmarkEnd w:id="80"/>
    </w:p>
    <w:p>
      <w:pPr>
        <w:pStyle w:val="ImageCaption"/>
      </w:pPr>
      <w:r>
        <w:t xml:space="preserve">Figure 9: Diagram: Seguridad.2. Lineabase.0.SIU Applicación</w:t>
      </w:r>
    </w:p>
    <w:bookmarkEnd w:id="0"/>
    <w:bookmarkEnd w:id="81"/>
    <w:bookmarkStart w:id="83"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13"/>
        </w:numPr>
        <w:pStyle w:val="Compact"/>
      </w:pPr>
      <w:r>
        <w:t xml:space="preserve">Runtime: Es el servicio que interactúa con el usuario final (GUI) elaborado en Angular 11</w:t>
      </w:r>
    </w:p>
    <w:p>
      <w:pPr>
        <w:numPr>
          <w:ilvl w:val="0"/>
          <w:numId w:val="1013"/>
        </w:numPr>
        <w:pStyle w:val="Compact"/>
      </w:pPr>
      <w:r>
        <w:t xml:space="preserve">API Tx: Servicio api rest base node encargado de realizar las transacciones básicas CRUD</w:t>
      </w:r>
    </w:p>
    <w:p>
      <w:pPr>
        <w:numPr>
          <w:ilvl w:val="0"/>
          <w:numId w:val="1013"/>
        </w:numPr>
        <w:pStyle w:val="Compact"/>
      </w:pPr>
      <w:r>
        <w:t xml:space="preserve">API Config / Seguridad. Servicio Web API .Net Framework encargado de gestionar características con la autenticación y configuración</w:t>
      </w:r>
    </w:p>
    <w:bookmarkStart w:id="82" w:name="catálogo-de-elementos-8"/>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Pruebas</w:t>
            </w:r>
          </w:p>
        </w:tc>
        <w:tc>
          <w:tcPr/>
          <w:p>
            <w:pPr>
              <w:pStyle w:val="Compact"/>
              <w:jc w:val="left"/>
            </w:pPr>
            <w:r>
              <w:t xml:space="preserve">application-component</w:t>
            </w:r>
          </w:p>
        </w:tc>
        <w:tc>
          <w:tcPr/>
          <w:p>
            <w:pPr>
              <w:pStyle w:val="Compact"/>
              <w:jc w:val="left"/>
            </w:pPr>
            <w:r>
              <w:t xml:space="preserve">FASE DE RECONOCIMIENTO:</w:t>
            </w:r>
            <w:r>
              <w:t xml:space="preserve"> </w:t>
            </w:r>
            <w:r>
              <w:t xml:space="preserve">Se recolectará toda la información posible, usando diferentes técnicas como:</w:t>
            </w:r>
            <w:r>
              <w:t xml:space="preserve"> </w:t>
            </w:r>
            <w:r>
              <w:t xml:space="preserve">Recopilación de dominios/IPs/puertos/servicios</w:t>
            </w:r>
            <w:r>
              <w:t xml:space="preserve"> </w:t>
            </w:r>
            <w:r>
              <w:t xml:space="preserve">Recopilación de metadatos</w:t>
            </w:r>
            <w:r>
              <w:t xml:space="preserve"> </w:t>
            </w:r>
            <w:r>
              <w:t xml:space="preserve">Uso de Google Dorks.</w:t>
            </w:r>
            <w:r>
              <w:t xml:space="preserve"> </w:t>
            </w:r>
            <w:r>
              <w:t xml:space="preserve">ANÁLSIS DE VULNERABILIDADES:</w:t>
            </w:r>
            <w:r>
              <w:t xml:space="preserve"> </w:t>
            </w:r>
            <w:r>
              <w:t xml:space="preserve">Se analizará la información recopilada en la fase anterior y se realizará el descubrimiento de las vulnerabilidades.</w:t>
            </w:r>
            <w:r>
              <w:t xml:space="preserve"> </w:t>
            </w:r>
            <w:r>
              <w:t xml:space="preserve">EXPLOTACIÓN:</w:t>
            </w:r>
            <w:r>
              <w:t xml:space="preserve"> </w:t>
            </w:r>
            <w:r>
              <w:t xml:space="preserve">Se realizarán todas aquellas acciones que puedan comprometer al sistema auditado, las pruebas a implementar pueden ser de ataques tipo:</w:t>
            </w:r>
            <w:r>
              <w:t xml:space="preserve"> </w:t>
            </w:r>
            <w:r>
              <w:t xml:space="preserve">Inyección de código</w:t>
            </w:r>
            <w:r>
              <w:t xml:space="preserve"> </w:t>
            </w:r>
            <w:r>
              <w:t xml:space="preserve">Inclusión de ficheros locales o remotos</w:t>
            </w:r>
            <w:r>
              <w:t xml:space="preserve"> </w:t>
            </w:r>
            <w:r>
              <w:t xml:space="preserve">Evasión de autenticación</w:t>
            </w:r>
            <w:r>
              <w:t xml:space="preserve"> </w:t>
            </w:r>
            <w:r>
              <w:t xml:space="preserve">Carencia de controles de autorización</w:t>
            </w:r>
            <w:r>
              <w:t xml:space="preserve"> </w:t>
            </w:r>
            <w:r>
              <w:t xml:space="preserve">Ejecución de comandos en el lado del servidor</w:t>
            </w:r>
            <w:r>
              <w:t xml:space="preserve"> </w:t>
            </w:r>
            <w:r>
              <w:t xml:space="preserve">Ataques tipo Cross Site Request Forgery</w:t>
            </w:r>
            <w:r>
              <w:t xml:space="preserve"> </w:t>
            </w:r>
            <w:r>
              <w:t xml:space="preserve">Control de errores</w:t>
            </w:r>
            <w:r>
              <w:t xml:space="preserve"> </w:t>
            </w:r>
            <w:r>
              <w:t xml:space="preserve">Gestión de sesiones</w:t>
            </w:r>
            <w:r>
              <w:t xml:space="preserve"> </w:t>
            </w:r>
            <w:r>
              <w:t xml:space="preserve">Fugas de información</w:t>
            </w:r>
            <w:r>
              <w:t xml:space="preserve"> </w:t>
            </w:r>
            <w:r>
              <w:t xml:space="preserve">Secuestros de sesión</w:t>
            </w:r>
            <w:r>
              <w:t xml:space="preserve"> </w:t>
            </w:r>
            <w:r>
              <w:t xml:space="preserve">Comprobación de las condiciones para realizar una denegación de servicio.</w:t>
            </w:r>
            <w:r>
              <w:t xml:space="preserve"> </w:t>
            </w:r>
            <w:r>
              <w:t xml:space="preserve">POST EXPLOTACIÓN:</w:t>
            </w:r>
            <w:r>
              <w:t xml:space="preserve"> </w:t>
            </w:r>
            <w:r>
              <w:t xml:space="preserve">En caso de encontrarse una vulnerabilidad que permita realizar otras acciones en el sistema auditado o en su entorno, se realizarán controles adiciones con el objetivo de comprobar la criticidad de esta.</w:t>
            </w:r>
          </w:p>
        </w:tc>
        <w:tc>
          <w:tcPr/>
          <w:p>
            <w:pPr>
              <w:pStyle w:val="Compact"/>
            </w:pP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r>
        <w:br w:type="page"/>
      </w:r>
    </w:p>
    <w:bookmarkEnd w:id="82"/>
    <w:bookmarkEnd w:id="83"/>
    <w:bookmarkEnd w:id="84"/>
    <w:bookmarkStart w:id="91" w:name="componentes"/>
    <w:p>
      <w:pPr>
        <w:pStyle w:val="Heading1"/>
      </w:pPr>
      <w:r>
        <w:t xml:space="preserve">Componentes</w:t>
      </w:r>
    </w:p>
    <w:bookmarkStart w:id="87" w:name="migracion.1b.1.-siu-módulos-componentes"/>
    <w:p>
      <w:pPr>
        <w:pStyle w:val="Heading2"/>
      </w:pPr>
      <w:r>
        <w:t xml:space="preserve">Migracion.1b.1. SIU Módulos Componentes</w:t>
      </w:r>
    </w:p>
    <w:bookmarkStart w:id="0" w:name="fig:Migracion.1b.1.SIUMódulosComponentes"/>
    <w:p>
      <w:pPr>
        <w:pStyle w:val="FirstParagraph"/>
      </w:pPr>
      <w:bookmarkStart w:id="85" w:name="fig:Migracion.1b.1.SIUMódulosComponentes"/>
      <w:r>
        <w:t xml:space="preserve">Figure 10: Diagram: Migracion.1b.1. SIU Módulos Componentes</w:t>
      </w:r>
      <w:bookmarkEnd w:id="85"/>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14"/>
        </w:numPr>
        <w:pStyle w:val="Compact"/>
      </w:pPr>
      <w:r>
        <w:t xml:space="preserve">Presentación: Angular 11 (Web)</w:t>
      </w:r>
    </w:p>
    <w:p>
      <w:pPr>
        <w:numPr>
          <w:ilvl w:val="0"/>
          <w:numId w:val="1014"/>
        </w:numPr>
        <w:pStyle w:val="Compact"/>
      </w:pPr>
      <w:r>
        <w:t xml:space="preserve">PGN SUI: API Transaccional (Node Js)</w:t>
      </w:r>
    </w:p>
    <w:p>
      <w:pPr>
        <w:numPr>
          <w:ilvl w:val="0"/>
          <w:numId w:val="1014"/>
        </w:numPr>
        <w:pStyle w:val="Compact"/>
      </w:pPr>
      <w:r>
        <w:t xml:space="preserve">Administración: API Config (C#)</w:t>
      </w:r>
    </w:p>
    <w:p>
      <w:pPr>
        <w:numPr>
          <w:ilvl w:val="0"/>
          <w:numId w:val="1014"/>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86" w:name="catálogo-de-elementos-9"/>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86"/>
    <w:bookmarkEnd w:id="87"/>
    <w:bookmarkStart w:id="90" w:name="X94ce159eae10be57afd13515fdf00a0751e6438"/>
    <w:p>
      <w:pPr>
        <w:pStyle w:val="Heading2"/>
      </w:pPr>
      <w:r>
        <w:t xml:space="preserve">Migracion.1b.2. SIU Módulos Componentes. Brecha</w:t>
      </w:r>
    </w:p>
    <w:bookmarkStart w:id="0" w:name="fig:Migracion.1b.2.SIUMódulosComponentes.Brecha"/>
    <w:p>
      <w:pPr>
        <w:pStyle w:val="FirstParagraph"/>
      </w:pPr>
      <w:bookmarkStart w:id="88" w:name="X7f0e07c8118587bde61cf07c57624064bc4b86c"/>
      <w:r>
        <w:t xml:space="preserve">Figure 11: Diagram: Migracion.1b.2. SIU Módulos Componentes. Brecha</w:t>
      </w:r>
      <w:bookmarkEnd w:id="88"/>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89" w:name="catálogo-de-elementos-10"/>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89"/>
    <w:bookmarkEnd w:id="90"/>
    <w:bookmarkEnd w:id="91"/>
    <w:bookmarkStart w:id="92" w:name="ci"/>
    <w:p>
      <w:pPr>
        <w:pStyle w:val="Heading1"/>
      </w:pPr>
      <w:r>
        <w:t xml:space="preserve">CI</w:t>
      </w:r>
    </w:p>
    <w:p>
      <w:r>
        <w:br w:type="page"/>
      </w:r>
    </w:p>
    <w:bookmarkEnd w:id="92"/>
    <w:bookmarkStart w:id="93" w:name="tecnología"/>
    <w:p>
      <w:pPr>
        <w:pStyle w:val="Heading1"/>
      </w:pPr>
      <w:r>
        <w:t xml:space="preserve">Tecnología</w:t>
      </w:r>
    </w:p>
    <w:p>
      <w:pPr>
        <w:pStyle w:val="FirstParagraph"/>
      </w:pPr>
      <w:r>
        <w:rPr>
          <w:rStyle w:val="VerbatimChar"/>
        </w:rPr>
        <w:t xml:space="preserve">Generated on: Tue Oct 17 2023 11:54:21 GMT-0500 (COT)</w:t>
      </w:r>
    </w:p>
    <w:bookmarkEnd w:id="9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77" Target="media/rId7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2023-10-17T17:30:20Z</dcterms:created>
  <dcterms:modified xsi:type="dcterms:W3CDTF">2023-10-17T17:30:20Z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