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RSG1. Estrategia CMS central</w:t>
      </w:r>
    </w:p>
    <w:p>
      <w:pPr>
        <w:numPr>
          <w:ilvl w:val="0"/>
          <w:numId w:val="1001"/>
        </w:numPr>
        <w:pStyle w:val="Compact"/>
      </w:pPr>
      <w:r>
        <w:t xml:space="preserve">RSG2. Motor de búsqueda</w:t>
      </w:r>
    </w:p>
    <w:p>
      <w:pPr>
        <w:numPr>
          <w:ilvl w:val="0"/>
          <w:numId w:val="1001"/>
        </w:numPr>
        <w:pStyle w:val="Compact"/>
      </w:pPr>
      <w:r>
        <w:t xml:space="preserve">RSG3. Estatego como BI</w:t>
      </w:r>
    </w:p>
    <w:p>
      <w:pPr>
        <w:numPr>
          <w:ilvl w:val="0"/>
          <w:numId w:val="1001"/>
        </w:numPr>
        <w:pStyle w:val="Compact"/>
      </w:pPr>
      <w:r>
        <w:t xml:space="preserve">RSG4. Conciliación y Doku</w:t>
      </w:r>
    </w:p>
    <w:p>
      <w:pPr>
        <w:numPr>
          <w:ilvl w:val="0"/>
          <w:numId w:val="1001"/>
        </w:numPr>
        <w:pStyle w:val="Compact"/>
      </w:pPr>
      <w:r>
        <w:t xml:space="preserve">RSG5. Gestión de sesiones / caducidad</w:t>
      </w:r>
    </w:p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3188A72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186860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5754B6A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C6EFDC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3632732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802CBEB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B25C1EC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83D298A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A178FD2C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1B8A3F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0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1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2023-09-11T01:34:47Z</dcterms:created>
  <dcterms:modified xsi:type="dcterms:W3CDTF">2023-09-11T01:34:47Z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