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r>
        <w:br w:type="page"/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1.8a93841 de 14 Sep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14 Sep 2023</w:t>
      </w:r>
    </w:p>
    <w:p>
      <w:r>
        <w:br w:type="page"/>
      </w:r>
    </w:p>
    <w:bookmarkStart w:id="23" w:name="X6f150b59ffca561730ad4358c2e9fbb8513ecb5"/>
    <w:p>
      <w:pPr>
        <w:pStyle w:val="Heading1"/>
      </w:pPr>
      <w:r>
        <w:t xml:space="preserve">Documento de Descripción de Entidades de Datos. Migración SUI PGN</w:t>
      </w:r>
    </w:p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 trabajo de la arquitectura de datos del proyecto Migración SUI, Fase 2, de la Procuraduría General de la Nación (PGN en adelante), Contrato 078-2023. El principal propósito de este documento es informar de las decisiones sobre la disposición lógica y física de las componentes de datos relevantes a la arquitectura del sistema SUI Migración. Por tanto, el documento contiene información estratégica para la toma de decisiones en cuanto al transporte, organización y mantenimiento de los entidades de datos de negocio,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 078-2023 Fase 2, PGN Migración Funcional SIU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Softgic, PGN, Análisis de brecha, GAP, Entidades, Datos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1.8a93841 del 14 Sep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SIU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bookmarkEnd w:id="23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2023-09-14T04:06:55Z</dcterms:created>
  <dcterms:modified xsi:type="dcterms:W3CDTF">2023-09-14T04:06:55Z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