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-seguridad"/>
    <w:p>
      <w:pPr>
        <w:pStyle w:val="Heading2"/>
      </w:pPr>
      <w:r>
        <w:t xml:space="preserve">Lineabase.1a.SIU componente (seguridad)</w:t>
      </w:r>
    </w:p>
    <w:bookmarkStart w:id="0" w:name="fig:Lineabase.1a.SIUcomponente(seguridad)"/>
    <w:p>
      <w:pPr>
        <w:pStyle w:val="CaptionedFigure"/>
      </w:pPr>
      <w:bookmarkStart w:id="23" w:name="X58888725d140b0a2ae99d3bbc58426d7edfe569"/>
      <w:r>
        <w:drawing>
          <wp:inline>
            <wp:extent cx="5943600" cy="4793225"/>
            <wp:effectExtent b="0" l="0" r="0" t="0"/>
            <wp:docPr descr="Figure 1: Diagram: Lineabase.1a.SIU componente (seguridad)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(seguridad)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 (seguridad)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2023-09-12T04:23:47Z</dcterms:created>
  <dcterms:modified xsi:type="dcterms:W3CDTF">2023-09-12T04:23:47Z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