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2fb0e13deea73ab81b6017cb7efce1fdaee8fb"/>
    <w:p>
      <w:pPr>
        <w:pStyle w:val="Heading2"/>
      </w:pPr>
      <w:r>
        <w:t xml:space="preserve">Lineabase.1a.SIU componentes. infraestrcutura</w:t>
      </w:r>
    </w:p>
    <w:bookmarkStart w:id="0" w:name="fig:Lineabase.1a.SIUcomponentes.infraestrcutura"/>
    <w:p>
      <w:pPr>
        <w:pStyle w:val="CaptionedFigure"/>
      </w:pPr>
      <w:bookmarkStart w:id="23" w:name="Xc6df5df8d7be7da150922af9e86f7407f4c6206"/>
      <w:r>
        <w:drawing>
          <wp:inline>
            <wp:extent cx="5943600" cy="4793225"/>
            <wp:effectExtent b="0" l="0" r="0" t="0"/>
            <wp:docPr descr="Figure 1: Diagram: Lineabase.1a.SIU componentes. infraestrcutura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s.infraestrcutura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componentes. infraestrcutura</w:t>
      </w:r>
    </w:p>
    <w:bookmarkEnd w:id="0"/>
    <w:p>
      <w:pPr>
        <w:pStyle w:val="BodyText"/>
      </w:pPr>
      <w:r>
        <w:t xml:space="preserve">Dependencias de infraestructura entre los servicios que integran el modelo de aplicación de SUI, Migración.</w:t>
      </w:r>
    </w:p>
    <w:p>
      <w:pPr>
        <w:numPr>
          <w:ilvl w:val="0"/>
          <w:numId w:val="1001"/>
        </w:numPr>
        <w:pStyle w:val="Compact"/>
      </w:pPr>
      <w:r>
        <w:t xml:space="preserve">Servidor de Canales (App PGN web y móvil)</w:t>
      </w:r>
    </w:p>
    <w:p>
      <w:pPr>
        <w:numPr>
          <w:ilvl w:val="0"/>
          <w:numId w:val="1001"/>
        </w:numPr>
        <w:pStyle w:val="Compact"/>
      </w:pPr>
      <w:r>
        <w:t xml:space="preserve">Servidor Web App (App SUI)</w:t>
      </w:r>
    </w:p>
    <w:p>
      <w:pPr>
        <w:numPr>
          <w:ilvl w:val="0"/>
          <w:numId w:val="1001"/>
        </w:numPr>
        <w:pStyle w:val="Compact"/>
      </w:pPr>
      <w:r>
        <w:t xml:space="preserve">Servidor Lappiz (Config SUI)</w:t>
      </w:r>
    </w:p>
    <w:p>
      <w:pPr>
        <w:numPr>
          <w:ilvl w:val="0"/>
          <w:numId w:val="1001"/>
        </w:numPr>
        <w:pStyle w:val="Compact"/>
      </w:pPr>
      <w:r>
        <w:t xml:space="preserve">Servidor BDD App (Transaccional)</w:t>
      </w:r>
    </w:p>
    <w:p>
      <w:pPr>
        <w:numPr>
          <w:ilvl w:val="0"/>
          <w:numId w:val="1001"/>
        </w:numPr>
        <w:pStyle w:val="Compact"/>
      </w:pPr>
      <w:r>
        <w:t xml:space="preserve">Servidor BDD Config (Configuración)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plantilla:</w:t>
            </w:r>
            <w:r>
              <w:t xml:space="preserve"> </w:t>
            </w:r>
            <w:r>
              <w:t xml:space="preserve">element-md-new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Infraestructura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Soporte de infraestructura a los componentes del SUI Migración. Servidores y ambientes de cómputo para la ejecución del software base de los componentes misionales del SUI de PGN.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126 GB, Backup E: 511 GB, SQL Data F: 510 GB, SQL Log G: 510 GB, TempDB G: 63.6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Sistema Operativo Windows Server 2019 Standard o Datacenter x64. RAM 8 GB. CPU 64 Bits, 4 Cores &gt; 2 Ghz</w:t>
            </w:r>
            <w:r>
              <w:t xml:space="preserve">Discos SO C: 80 GB, Backup E: 250 GB, SQL Data F: 250 GB, SQL Log G: 250 GB, TempDB G: 30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Windows Server 2019 Standard o Datacenter x64. Nombre físico. IP LAN. IP Pública. Windows Server 2019 Standard or Datacenter x64. RAM 8 GB. CPU 64 Bits. 4 Cores de 2 Ghz. Discos SO C: 126 GB. SO D: 16 GB.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2023-10-18T21:52:26Z</dcterms:created>
  <dcterms:modified xsi:type="dcterms:W3CDTF">2023-10-18T21:52:26Z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