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X72fb0e13deea73ab81b6017cb7efce1fdaee8fb"/>
    <w:p>
      <w:pPr>
        <w:pStyle w:val="Heading2"/>
      </w:pPr>
      <w:r>
        <w:t xml:space="preserve">Lineabase.1a.SIU componentes. infraestrcutura</w:t>
      </w:r>
    </w:p>
    <w:bookmarkStart w:id="0" w:name="fig:Lineabase.1a.SIUcomponentes.infraestrcutura"/>
    <w:p>
      <w:pPr>
        <w:pStyle w:val="CaptionedFigure"/>
      </w:pPr>
      <w:bookmarkStart w:id="23" w:name="Xc6df5df8d7be7da150922af9e86f7407f4c6206"/>
      <w:r>
        <w:drawing>
          <wp:inline>
            <wp:extent cx="5943600" cy="4793225"/>
            <wp:effectExtent b="0" l="0" r="0" t="0"/>
            <wp:docPr descr="Figure 1: Diagram: Lineabase.1a.SIU componentes. infraestrcutura" title="" id="21" name="Picture"/>
            <a:graphic>
              <a:graphicData uri="http://schemas.openxmlformats.org/drawingml/2006/picture">
                <pic:pic>
                  <pic:nvPicPr>
                    <pic:cNvPr descr="images/Lineabase.1a.SIUcomponentes.infraestrcutura.png" id="22" name="Picture"/>
                    <pic:cNvPicPr>
                      <a:picLocks noChangeArrowheads="1" noChangeAspect="1"/>
                    </pic:cNvPicPr>
                  </pic:nvPicPr>
                  <pic:blipFill>
                    <a:blip r:embed="rId20"/>
                    <a:stretch>
                      <a:fillRect/>
                    </a:stretch>
                  </pic:blipFill>
                  <pic:spPr bwMode="auto">
                    <a:xfrm>
                      <a:off x="0" y="0"/>
                      <a:ext cx="5943600" cy="4793225"/>
                    </a:xfrm>
                    <a:prstGeom prst="rect">
                      <a:avLst/>
                    </a:prstGeom>
                    <a:noFill/>
                    <a:ln w="9525">
                      <a:noFill/>
                      <a:headEnd/>
                      <a:tailEnd/>
                    </a:ln>
                  </pic:spPr>
                </pic:pic>
              </a:graphicData>
            </a:graphic>
          </wp:inline>
        </w:drawing>
      </w:r>
      <w:bookmarkEnd w:id="23"/>
    </w:p>
    <w:p>
      <w:pPr>
        <w:pStyle w:val="ImageCaption"/>
      </w:pPr>
      <w:r>
        <w:t xml:space="preserve">Figure 1: Diagram: Lineabase.1a.SIU componentes. infraestrcutura</w:t>
      </w:r>
    </w:p>
    <w:bookmarkEnd w:id="0"/>
    <w:p>
      <w:pPr>
        <w:pStyle w:val="BodyText"/>
      </w:pPr>
      <w:r>
        <w:t xml:space="preserve">Dependencias de infraestructura entre los servicios que integran el modelo de aplicación de SUI, Migración.</w:t>
      </w:r>
    </w:p>
    <w:p>
      <w:pPr>
        <w:numPr>
          <w:ilvl w:val="0"/>
          <w:numId w:val="1001"/>
        </w:numPr>
        <w:pStyle w:val="Compact"/>
      </w:pPr>
      <w:r>
        <w:t xml:space="preserve">Servidor de Canales (App PGN web y móvil)</w:t>
      </w:r>
    </w:p>
    <w:p>
      <w:pPr>
        <w:numPr>
          <w:ilvl w:val="0"/>
          <w:numId w:val="1001"/>
        </w:numPr>
        <w:pStyle w:val="Compact"/>
      </w:pPr>
      <w:r>
        <w:t xml:space="preserve">Servidor Web App (App SUI)</w:t>
      </w:r>
    </w:p>
    <w:p>
      <w:pPr>
        <w:numPr>
          <w:ilvl w:val="0"/>
          <w:numId w:val="1001"/>
        </w:numPr>
        <w:pStyle w:val="Compact"/>
      </w:pPr>
      <w:r>
        <w:t xml:space="preserve">Servidor Lappiz (Config SUI)</w:t>
      </w:r>
    </w:p>
    <w:p>
      <w:pPr>
        <w:numPr>
          <w:ilvl w:val="0"/>
          <w:numId w:val="1001"/>
        </w:numPr>
        <w:pStyle w:val="Compact"/>
      </w:pPr>
      <w:r>
        <w:t xml:space="preserve">Servidor BDD App (Transaccional)</w:t>
      </w:r>
    </w:p>
    <w:p>
      <w:pPr>
        <w:numPr>
          <w:ilvl w:val="0"/>
          <w:numId w:val="1001"/>
        </w:numPr>
        <w:pStyle w:val="Compact"/>
      </w:pPr>
      <w:r>
        <w:t xml:space="preserve">Servidor BDD Config (Configuración)</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Persistencia</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Infraestructura SUI</w:t>
            </w:r>
          </w:p>
        </w:tc>
        <w:tc>
          <w:tcPr/>
          <w:p>
            <w:pPr>
              <w:pStyle w:val="Compact"/>
              <w:jc w:val="left"/>
            </w:pPr>
            <w:r>
              <w:t xml:space="preserve">grouping</w:t>
            </w:r>
          </w:p>
        </w:tc>
        <w:tc>
          <w:tcPr/>
          <w:p>
            <w:pPr>
              <w:pStyle w:val="Compact"/>
              <w:jc w:val="left"/>
            </w:pPr>
            <w:r>
              <w:t xml:space="preserve">Soporte de infraestructura a los componentes del SUI Migración. Servidores y ambientes de cómputo para la ejecución del software base de los componentes misionales del SUI de PGN.</w:t>
            </w: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r>
              <w:t xml:space="preserve">El api transaccional construida en Node js con ORM Sequelize cuenta con obligatoriedad de token tipo bearer generado desde Api config (Api security token generado con autenticación de directorio activo o login de usuario</w:t>
            </w:r>
            <w:r>
              <w:t xml:space="preserve"> </w:t>
            </w:r>
            <w:r>
              <w:t xml:space="preserve">externo) cuenta con un modelo de capas donde primero se encuentra un DTO consistente en estructura de datos y métodos de</w:t>
            </w:r>
            <w:r>
              <w:t xml:space="preserve"> </w:t>
            </w:r>
            <w:r>
              <w:t xml:space="preserve">“</w:t>
            </w:r>
            <w:r>
              <w:t xml:space="preserve">check permissions</w:t>
            </w:r>
            <w:r>
              <w:t xml:space="preserve">”</w:t>
            </w:r>
            <w:r>
              <w:t xml:space="preserve"> </w:t>
            </w:r>
            <w:r>
              <w:t xml:space="preserve">(un endpoint del api de seguridad para validar privilegios sobre las acciones de</w:t>
            </w:r>
            <w:r>
              <w:t xml:space="preserve"> </w:t>
            </w:r>
            <w:r>
              <w:t xml:space="preserve">la petición en ingreso) luego dependiendo del tipo de transacción se tiene una capa para Lappiz functions, Lappiz Jobs (Tareas programables) y Lappiz model (Generado con base ORM sequelize). Todas las transacciones una vez</w:t>
            </w:r>
            <w:r>
              <w:t xml:space="preserve"> </w:t>
            </w:r>
            <w:r>
              <w:t xml:space="preserve">son validadas en token y permisos, pasan a un tenedor de conexión para modificar las cadenas de conexión en marcha y saber que usuario de bd va a efectuar la operación y con qué privilegios. Todas las peticiones entran en</w:t>
            </w:r>
            <w:r>
              <w:t xml:space="preserve"> </w:t>
            </w:r>
            <w:r>
              <w:t xml:space="preserve">un modelo natural de node js compuesto por un Event queue y un evento Loop; estas peticiones se procesan en la base de datos y todas las excepciones controladas se registran en un log de errores en formato txt con las especificaciones y devolviendo errores controlados con protocolos HTTPs al Runtime (front de SUI).</w:t>
            </w:r>
          </w:p>
        </w:tc>
        <w:tc>
          <w:tcPr/>
          <w:p>
            <w:pPr>
              <w:pStyle w:val="Compact"/>
            </w:pPr>
          </w:p>
        </w:tc>
      </w:tr>
      <w:tr>
        <w:tc>
          <w:tcPr/>
          <w:p>
            <w:pPr>
              <w:pStyle w:val="Compact"/>
              <w:jc w:val="left"/>
            </w:pPr>
            <w:r>
              <w:rPr>
                <w:bCs/>
                <w:b/>
              </w:rPr>
              <w:t xml:space="preserve">Servidor BDD App</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126 GB, Backup E: 511 GB, SQL Data F: 510 GB, SQL Log G: 510 GB, TempDB G: 63.6 GB.</w:t>
            </w:r>
          </w:p>
        </w:tc>
        <w:tc>
          <w:tcPr/>
          <w:p>
            <w:pPr>
              <w:pStyle w:val="Compact"/>
            </w:pPr>
          </w:p>
        </w:tc>
      </w:tr>
      <w:tr>
        <w:tc>
          <w:tcPr/>
          <w:p>
            <w:pPr>
              <w:pStyle w:val="Compact"/>
              <w:jc w:val="left"/>
            </w:pPr>
            <w:r>
              <w:rPr>
                <w:bCs/>
                <w:b/>
              </w:rPr>
              <w:t xml:space="preserve">Servidor BDD Config</w:t>
            </w:r>
          </w:p>
        </w:tc>
        <w:tc>
          <w:tcPr/>
          <w:p>
            <w:pPr>
              <w:pStyle w:val="Compact"/>
              <w:jc w:val="left"/>
            </w:pPr>
            <w:r>
              <w:t xml:space="preserve">node</w:t>
            </w:r>
          </w:p>
        </w:tc>
        <w:tc>
          <w:tcPr/>
          <w:p>
            <w:pPr>
              <w:pStyle w:val="Compact"/>
              <w:jc w:val="left"/>
            </w:pPr>
            <w:r>
              <w:t xml:space="preserve">Sistema Operativo Windows Server 2019 Standard o Datacenter x64. RAM 8 GB. CPU 64 Bits, 4 Cores &gt; 2 Ghz</w:t>
            </w:r>
            <w:r>
              <w:t xml:space="preserve">Discos SO C: 80 GB, Backup E: 250 GB, SQL Data F: 250 GB, SQL Log G: 250 GB, TempDB G: 30 GB.</w:t>
            </w:r>
          </w:p>
        </w:tc>
        <w:tc>
          <w:tcPr/>
          <w:p>
            <w:pPr>
              <w:pStyle w:val="Compact"/>
            </w:pPr>
          </w:p>
        </w:tc>
      </w:tr>
      <w:tr>
        <w:tc>
          <w:tcPr/>
          <w:p>
            <w:pPr>
              <w:pStyle w:val="Compact"/>
              <w:jc w:val="left"/>
            </w:pPr>
            <w:r>
              <w:rPr>
                <w:bCs/>
                <w:b/>
              </w:rPr>
              <w:t xml:space="preserve">Servidor Web App</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r>
        <w:tc>
          <w:tcPr/>
          <w:p>
            <w:pPr>
              <w:pStyle w:val="Compact"/>
              <w:jc w:val="left"/>
            </w:pPr>
            <w:r>
              <w:rPr>
                <w:bCs/>
                <w:b/>
              </w:rPr>
              <w:t xml:space="preserve">Servidor Web Canales</w:t>
            </w:r>
          </w:p>
        </w:tc>
        <w:tc>
          <w:tcPr/>
          <w:p>
            <w:pPr>
              <w:pStyle w:val="Compact"/>
              <w:jc w:val="left"/>
            </w:pPr>
            <w:r>
              <w:t xml:space="preserve">node</w:t>
            </w:r>
          </w:p>
        </w:tc>
        <w:tc>
          <w:tcPr/>
          <w:p>
            <w:pPr>
              <w:pStyle w:val="Compact"/>
              <w:jc w:val="left"/>
            </w:pPr>
            <w:r>
              <w:t xml:space="preserve">Windows Server 2019 Standard o Datacenter x64. Nombre físico. IP LAN. IP Pública. Windows Server 2019 Standard or Datacenter x64. RAM 8 GB. CPU 64 Bits. 4 Cores de 2 Ghz. Discos SO C: 126 GB. SO D: 16 GB.</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2023-10-27T16:13:24Z</dcterms:created>
  <dcterms:modified xsi:type="dcterms:W3CDTF">2023-10-27T16:13:24Z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